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NP200022 vom 11. Januar 2021</w:t>
      </w:r>
    </w:p>
    <w:p>
      <w:r>
        <w:t>ZH Obergericht, 2021-01-11, DE</w:t>
      </w:r>
    </w:p>
    <w:p>
      <w:r>
        <w:rPr>
          <w:b/>
        </w:rPr>
        <w:t xml:space="preserve">Quelle: </w:t>
      </w:r>
      <w:r>
        <w:t>https://mcp.opencaselaw.ch/entscheid/zh_obergericht_NP200022</w:t>
      </w:r>
    </w:p>
    <w:p>
      <w:r>
        <w:t>FR: ZH_OBERGERICHT NP200022 du 11 janvier 2021</w:t>
      </w:r>
    </w:p>
    <w:p>
      <w:r>
        <w:t>IT: ZH_OBERGERICHT NP200022 del 11 gennaio 2021</w:t>
      </w:r>
    </w:p>
    <w:p>
      <w:pPr>
        <w:pStyle w:val="Heading2"/>
      </w:pPr>
      <w:r>
        <w:t>Erwägungen</w:t>
      </w:r>
    </w:p>
    <w:p>
      <w:r>
        <w:rPr>
          <w:b/>
        </w:rPr>
        <w:t>E. 1</w:t>
      </w:r>
    </w:p>
    <w:p>
      <w:r>
        <w:t>Die Klägerin und Berufungsklägerin (nachfolgend Klägerin) und der Beklagte und Berufungsbeklagte (nachfolgend Beklagter) lebten von Mai 2015 bis August 2017 zusammen in einem Konkubinat. Die Klägerin macht geltend, der Beklagte schulde ihr aus diesem Konkubinat insgesamt noch Fr. 28'949.40, da man sich mündlich geeinigt habe, dass sich jede Partei zur Hälfte an den gemeinsamen Kosten beteilige. Der Beklagte schulde den erwähnten Betrag, um dieser Verein- barung gerecht zu werden. Der Beklagte bestreitet dies.</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 weise auf die Vorakten genügen nicht (vgl. ZK ZPO-REETZ/THEILER, 3. Aufl. 2016, Art. 311 N 36 f.). Wiederholungen des bereits vor der ersten Instanz Vorgetrage- nen genügen den gesetzlichen Anforderungen an eine Begründung ebenso wenig wie allgemeine Kritik am angefochtenen Entscheid bzw. an den erstinstanzlichen Erwägungen (vgl. auch BGE 138 III 374 ff., E. 4 = Pra 102 [2013] Nr. 4). Die volle Kognition der Berufungsinstanz in Rechtsfragen bedeutet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 fungsbegründung erhobenen Beanstandungen zu beschränken (vgl. BGE 142 III 413 ff., E. 2.2.4; BGer 4A_629/2017 vom 17. Juli 2018, E. 4.1.4; 4A_418/2017 vom 8. Januar 2018, E. 2.3). Insofern gibt die Berufungsschrift durch die ausrei- chend begründet vorgetragenen Beanstandungen das Prüfprogramm vor, mit welchem sich die Berufungsinstanz zu befassen hat. Innerhalb dieser Beanstan- dungen ist sie indes weder an die Begründung des Berufungsklägers noch an je- ne der Vorinstanz gebunden, sondern sie wendet das Recht von Amtes wegen an (Art. 57 ZPO). Deshalb kann die Berufung auch mit einer anderen Argumentation gutgeheissen oder mit einer von der Argumentation der Vorinstanz abweichenden Begründung abgewiesen werden (vgl. BGer 4A_629/2017 vom 17. Juli 2018, E. 4.1.4; 4A_397/2016 vom 30. November 2016, E. 3.1). Entsprechend muss ein</w:t>
      </w:r>
    </w:p>
    <w:p>
      <w:r>
        <w:t>- 5 - Berufungskläger zwar darlegen, dass und inwiefern die Vorinstanz das Recht aus seiner Sicht unrichtig angewendet hat, zutreffen muss diese Begründung – um ei- ne freie Überprüfung durch die Berufungsinstanz zu erwirken – aber nicht (vgl. zur ebenfalls vollen Kognition der Beschwerdeinstanz in Rechtsfragen OGer ZH PS180131 vom 3. September 2018, E. III./3). Mit anderen Worten muss die Rechtsschrift eine minimale rechtliche Begründung enthalten, wenn eine unrichti- ge Rechtsanwendung geltend gemacht wird (vgl. etwa OGer ZH LB140047 vom</w:t>
      </w:r>
    </w:p>
    <w:p>
      <w:r>
        <w:rPr>
          <w:b/>
        </w:rPr>
        <w:t>E. 5</w:t>
      </w:r>
    </w:p>
    <w:p>
      <w:r>
        <w:t>Schriftliche Mitteilung an die Parteien, an den Beklagten unter Beilage eines Doppels von act. 49 samt Beilagen (act. 51/02-42), und an das Bezirksge- richt Pfäffikon, je gegen Empfangsschein, sowie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28'949.40. Die Beschwerde an das Bundesgericht hat keine aufschiebende Wirkung.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