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NP200020 vom 9. Februar 2021</w:t>
      </w:r>
    </w:p>
    <w:p>
      <w:r>
        <w:t>ZH Obergericht, 2021-02-09, DE</w:t>
      </w:r>
    </w:p>
    <w:p>
      <w:r>
        <w:rPr>
          <w:b/>
        </w:rPr>
        <w:t xml:space="preserve">Quelle: </w:t>
      </w:r>
      <w:r>
        <w:t>https://mcp.opencaselaw.ch/entscheid/zh_obergericht_NP200020</w:t>
      </w:r>
    </w:p>
    <w:p>
      <w:r>
        <w:t>FR: ZH_OBERGERICHT NP200020 du 9 février 2021</w:t>
      </w:r>
    </w:p>
    <w:p>
      <w:r>
        <w:t>IT: ZH_OBERGERICHT NP200020 del 9 febbraio 2021</w:t>
      </w:r>
    </w:p>
    <w:p>
      <w:pPr>
        <w:pStyle w:val="Heading2"/>
      </w:pPr>
      <w:r>
        <w:t>Erwägungen</w:t>
      </w:r>
    </w:p>
    <w:p>
      <w:r>
        <w:rPr>
          <w:b/>
        </w:rPr>
        <w:t>E. 1</w:t>
      </w:r>
    </w:p>
    <w:p>
      <w:r>
        <w:t>Beim Teilurteil vom 2. Juni 2020 handelt es sich um einen berufungsfähi- gen Zwischenentscheid i.S.v. Art. 237 ZPO. Kommt die Berufungsinstanz zum Schluss, dass kein adäquater Kausalzusammenhang zwischen dem Trambetrieb und dem Schaden besteht, führt dies sofort zu einem Endentscheid, indem die Klage abzuweisen ist.</w:t>
      </w:r>
    </w:p>
    <w:p>
      <w:r>
        <w:rPr>
          <w:b/>
        </w:rPr>
        <w:t>E. 2</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 Reetz/Theiler, Art. 311 N 36). Die Berufungsklägerin hat mittels klarer Verweisun- gen auf die Ausführungen vor der Vorinstanz zu zeigen, wo sie die massgeben- den Behauptungen, Erklärungen, Bestreitungen und Einreden erhoben hat. Die Parteien haben die von ihnen kritisierten Erwägungen des angefochtenen Ent- scheids wie auch die Aktenstücke, auf die sie ihre Kritik stützen, genau zu be- zeichnen (BGE 138 III 374 E. 4.3.1; BGer 4A_580/2015 vom 11.04.2016, E. 2.2 [nicht publiziert in BGE 142 III 271]). Was nicht in einer den gesetzlichen Begrün- dungsanforderungen genügenden Weise beanstandet wird, braucht von der Rechtsmittelinstanz nicht überprüft zu werden. Abgesehen von offensichtlichen Mängeln hat sich das Berufungsgericht grundsätzlich auf die Beurteilung der in der Berufung und Berufungsantwort gegen das erstinstanzliche Urteil erhobenen Beanstandungen zu beschränken. Die Rügen der Parteien geben mithin das Prü- fungsprogramm der Berufungsinstanz vor; der angefochtene Entscheid ist grund- sätzlich nur auf die gerügten Punkte hin zu überprüfen. In rechtlicher Hinsicht ist das Berufungsgericht, in Anwendung des Grundsatzes iura novit curia, bei dieser Prüfung jedoch weder an die Erwägungen der ersten Instanz noch an die Argu- mente der Parteien gebunden. In tatsächlicher Hinsicht ist es nicht an die Fest-</w:t>
      </w:r>
    </w:p>
    <w:p>
      <w:r>
        <w:t>- 5 - stellungen des erstinstanzlichen Gerichts gebunden, auch wenn mangels ent- sprechender Sachverhaltsrügen der Parteien im Berufungsverfahren der erstin- stanzliche Entscheid nach dem Gesagten in der Regel als Grundlage des Rechts- mittelverfahrens dient (BGE 144 III 394 E. 4.1.4, m.w.H.). Die Begründungsanforderungen gelten auch für die Berufungsantwort, wenn darin Erwägungen der Vorinstanz beanstandet werden, die sich für die im kanto- nalen Verfahren obsiegende Partei ungünstig auswirken können (BGer 4A_258/2015 vom 21.10.2015, E. 2.4.2; 4A_580/2015 vom 11.04.2016, E. 2.2; 4A_496/2016 vom 08.12.2016, E. 2.2.2; ZK ZPO-Reetz/Theiler, Art. 312 N 11).</w:t>
      </w:r>
    </w:p>
    <w:p>
      <w:r>
        <w:rPr>
          <w:b/>
        </w:rPr>
        <w:t>E. 3</w:t>
      </w:r>
    </w:p>
    <w:p>
      <w:r>
        <w:t>Ebenfalls unbestritten ist, dass zwischen dem Unfallereignis und den Hauptunfallfolgen (mittelschweres Schädel-Hirn-Trauma mit Bewegungs-, Reflex- und weiteren Hirnfunktionsstörungen, Thoraxtrauma und Tetraparese {Mischbild mit zentraler und peripherer Komponente}) ein natürlicher Kausalzusammenhang besteht (Urk. 38 S. 7 f. und S. 16; Urk. 4/7; Urk. 37 S. 6).</w:t>
      </w:r>
    </w:p>
    <w:p>
      <w:r>
        <w:rPr>
          <w:b/>
        </w:rPr>
        <w:t>E. 4</w:t>
      </w:r>
    </w:p>
    <w:p>
      <w:r>
        <w:t>Die Beklagte wird verpflichtet, dem Kläger für das zweitinstanzliche Verfah- ren eine Parteientschädigung von Fr. 2'500.– zu bezahlen.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Vorentscheid im Sinne von Art. 93 BGG. Es handelt sich um eine vermögensrechtliche Angelegenheit. Der Streitwert beträgt Fr. 30'000.–. Die Beschwerde an das Bundesgericht hat keine aufschiebende Wirkung. Hinsichtlich des Fristenlaufs gelten die Art. 44 ff. BGG.</w:t>
      </w:r>
    </w:p>
    <w:p>
      <w:r>
        <w:t>- 23 - Zürich, 9.Februar 2021 Obergericht des Kantons Zürich I. Zivilkammer Die Vorsitzende: Die Gerichtsschreiberin: Dr. D. Scherrer lic. iur. C. Faoro versandt am: lee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