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NP190029 vom 13. Mai 2020</w:t>
      </w:r>
    </w:p>
    <w:p>
      <w:r>
        <w:t>ZH Obergericht, 2020-05-13, DE</w:t>
      </w:r>
    </w:p>
    <w:p>
      <w:r>
        <w:rPr>
          <w:b/>
        </w:rPr>
        <w:t xml:space="preserve">Quelle: </w:t>
      </w:r>
      <w:r>
        <w:t>https://mcp.opencaselaw.ch/entscheid/zh_obergericht_NP190029</w:t>
      </w:r>
    </w:p>
    <w:p>
      <w:r>
        <w:t>FR: ZH_OBERGERICHT NP190029 du 13 mai 2020</w:t>
      </w:r>
    </w:p>
    <w:p>
      <w:r>
        <w:t>IT: ZH_OBERGERICHT NP190029 del 13 maggio 2020</w:t>
      </w:r>
    </w:p>
    <w:p>
      <w:pPr>
        <w:pStyle w:val="Heading2"/>
      </w:pPr>
      <w:r>
        <w:t>Erwägungen</w:t>
      </w:r>
    </w:p>
    <w:p>
      <w:r>
        <w:rPr>
          <w:b/>
        </w:rPr>
        <w:t>E. 1</w:t>
      </w:r>
    </w:p>
    <w:p>
      <w:r>
        <w:t>Die Parteien schlossen am 20. März 2018 eine schriftliche Reservati- onsvereinbarung (fortan Vereinbarung) ab, in welcher sich der Kläger und Beru- fungsbeklagte (fortan Kläger) verpflichtete, den Beklagten und Berufungsklägern (fortan Beklagte) die Liegenschaft D._____-strasse …, E._____ (Kat.-Nr. 1, Grundbuchblatt 2, fortan Liegenschaft) bis zum Ende der Kalenderwoche 16 des Jahres 2018, d.h. bis am 20. April 2018, zu verkaufen. Im Gegenzug verpflichte- ten sich die Beklagten, die Liegenschaft innert derselben Frist zu erwerben. Der Kaufpreis für die Liegenschaft wurde in der Vereinbarung auf Fr. 895'000.– fest- gesetzt. Hiervon wurden bei Abschluss der Vereinbarung Fr. 20'000.– fällig. Der weitere Betrag von Fr. 875'000.– war bei der Unterzeichnung des Kaufvertrages anlässlich der öffentlichen Beurkundung zu bezahlen. Die Reservationsgebühr von Fr. 20'000.– wurde vertragsgemäss geleistet. Alsdann kam es innert der in der Vereinbarung vorgesehenen Frist allerdings nicht zum Abschluss eines öffent- lich beurkundeten Kaufvertrages (vgl. zum Ganzen Urk. 8/1 S. 2 f.; Urk. 8/11 S. 4 f.; Urk. 8/3/1).</w:t>
      </w:r>
    </w:p>
    <w:p>
      <w:r>
        <w:rPr>
          <w:b/>
        </w:rPr>
        <w:t>E. 2</w:t>
      </w:r>
    </w:p>
    <w:p>
      <w:r>
        <w:t>Mit Datum vom 3. Mai 2019 liessen die Beklagten dem Kläger einen Zahlungsbefehl in der Betreibung Nr. 3 des Betreibungsamtes E'._____ über Fr. 20'000.– ("Anzahlung aus Reservationsvereinbarung vom 20.03.2018"), Fr. 1'240.– ("Schadenersatz") und Fr. 448.25 ("Schadenersatz für Auslagen: Öf- fentliche Beurkundung und Eigentumsänderung"), je zuzüglich 5% Zins seit 8. März 2019, zukommen (Urk. 8/3/5). Nachdem der Kläger keinen Rechtsvor- schlag erhoben hatte (Urk. 8/1 S. 4; Urk. 8/11 S. 8), wurde ihm am 18. Juni 2019 die Pfändung angekündigt (Urk. 8/3/8).</w:t>
      </w:r>
    </w:p>
    <w:p>
      <w:r>
        <w:rPr>
          <w:b/>
        </w:rPr>
        <w:t>E. 3</w:t>
      </w:r>
    </w:p>
    <w:p>
      <w:r>
        <w:t>Mit Eingabe vom 25. Juni 2019 erhob der Kläger bei der Vorinstanz ei- ne negative Feststellungsklage im Sinne von Art. 85a SchKG, mit welcher er um Feststellung des Nichtbestands der in Betreibung gesetzten Forderungen und um Aufhebung der entsprechenden Betreibung ersuchte. Zudem stellte er das fol- gende Massnahmenbegehren (Urk. 8/1 S. 2):</w:t>
      </w:r>
    </w:p>
    <w:p>
      <w:r>
        <w:t>- 4 - " Es sei die Betreibung Nr. 3 des Betreibungsamts E._____ vorläufig einzu- stellen." Die Vorinstanz setzte den Beklagten mit Verfügung vom 2. Juli 2019 Frist zur Stellungnahme zum Gesuch des Klägers um Erlass vorsorglicher Massnah- men an (Urk. 8/5). Nachdem diese Frist auf entsprechendes Ersuchen der Be- klagten bis zum 26. August 2019 erstreckt worden war (vgl. Urk. 8/7), verlangte der Kläger mit Eingabe vom 23. Juli 2019 die superprovisorische Einstellung der besagten Betreibung (Urk. 8/8). Dieses Begehren wurde mit Verfügung vom 25. Juli 2019 abgewiesen (Urk. 8/9). Mit Eingabe vom 26. August 2019 nahmen die Beklagten fristgerecht zum klägerischen Gesuch um Erlass vorsorglicher Massnahmen Stellung; sie beantragten die Abweisung des Gesuchs (Urk. 8/11). Am 27. September 2019 erliess die Vorinstanz die folgende Verfügung (Urk. 8/16 S. 11 = Urk. 2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