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NP170021 vom 25. Oktober 2017</w:t>
      </w:r>
    </w:p>
    <w:p>
      <w:r>
        <w:t>ZH Obergericht, 2017-10-25, DE</w:t>
      </w:r>
    </w:p>
    <w:p>
      <w:r>
        <w:rPr>
          <w:b/>
        </w:rPr>
        <w:t xml:space="preserve">Quelle: </w:t>
      </w:r>
      <w:r>
        <w:t>https://mcp.opencaselaw.ch/entscheid/zh_obergericht_NP170021</w:t>
      </w:r>
    </w:p>
    <w:p>
      <w:r>
        <w:t>FR: ZH_OBERGERICHT NP170021 du 25 octobre 2017</w:t>
      </w:r>
    </w:p>
    <w:p>
      <w:r>
        <w:t>IT: ZH_OBERGERICHT NP170021 del 25 ottobre 2017</w:t>
      </w:r>
    </w:p>
    <w:p>
      <w:pPr>
        <w:pStyle w:val="Heading2"/>
      </w:pPr>
      <w:r>
        <w:t>Erwägungen</w:t>
      </w:r>
    </w:p>
    <w:p>
      <w:r>
        <w:rPr>
          <w:b/>
        </w:rPr>
        <w:t>E. 1</w:t>
      </w:r>
    </w:p>
    <w:p>
      <w:r>
        <w:t>a) Der Kläger und Berufungskläger (fortan Kläger) stellte vor Vorinstanz mit Eingabe vom 10. November 2016 und unter Beilage der Klagebewilligung des Friedensrichteramtes C._____ der Stadt Zürich vom 15. August 2016 das folgen- de Rechtsbegehren (Urk. 1 f.): " 1. Der Beklagte sei zu verpflichten, dem Kläger zu bezahlen: CHF 10'000.– nebst 5% Zins seit 10.05.2016 sowie CHF 119.– Be- treibungskosten in der Betreibung Nr. … des BA Zürich 8 vom 10.05.2016.</w:t>
      </w:r>
    </w:p>
    <w:p>
      <w:r>
        <w:rPr>
          <w:b/>
        </w:rPr>
        <w:t>E. 2</w:t>
      </w:r>
    </w:p>
    <w:p>
      <w:r>
        <w:t>Der Rechtsvorschlag ist zu beseitigen.</w:t>
      </w:r>
    </w:p>
    <w:p>
      <w:r>
        <w:rPr>
          <w:b/>
        </w:rPr>
        <w:t>E. 3</w:t>
      </w:r>
    </w:p>
    <w:p>
      <w:r>
        <w:t>Die Gerichtskosten werden dem Kläger auferlegt.</w:t>
      </w:r>
    </w:p>
    <w:p>
      <w:r>
        <w:rPr>
          <w:b/>
        </w:rPr>
        <w:t>E. 4</w:t>
      </w:r>
    </w:p>
    <w:p>
      <w:r>
        <w:t>Der Kläger wird verpflichtet, der Beklagten eine Parteientschädi- gung von Fr. 1'600.– (zuzüglich 8% für Mehrwertsteuer) zu bezah- len.</w:t>
      </w:r>
    </w:p>
    <w:p>
      <w:r>
        <w:rPr>
          <w:b/>
        </w:rPr>
        <w:t>E. 5</w:t>
      </w:r>
    </w:p>
    <w:p>
      <w:r>
        <w:t>(Schriftliche Mitteilung.)</w:t>
      </w:r>
    </w:p>
    <w:p>
      <w:r>
        <w:rPr>
          <w:b/>
        </w:rPr>
        <w:t>E. 6</w:t>
      </w:r>
    </w:p>
    <w:p>
      <w:r>
        <w:t>Eine Beschwerde gegen diesen Entscheid an das Bundesgericht ist innert 30 Tagen von der Zustellung an beim Schweizerischen Bundesgericht, 1000 Lausanne 14, einzureichen. Zulässigkeit und Form einer solchen Be-</w:t>
      </w:r>
    </w:p>
    <w:p>
      <w:r>
        <w:t>- 11 -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 Die Beschwerde an das Bundesgericht hat keine aufschiebende Wirkung. Hinsichtlich des Fristenlaufs gelten die Art. 44 ff. BGG. Zürich, 25. Oktober 2017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