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NP160041 vom 2. Februar 2017</w:t>
      </w:r>
    </w:p>
    <w:p>
      <w:r>
        <w:t>ZH Obergericht, 2017-02-02, DE</w:t>
      </w:r>
    </w:p>
    <w:p>
      <w:r>
        <w:rPr>
          <w:b/>
        </w:rPr>
        <w:t xml:space="preserve">Quelle: </w:t>
      </w:r>
      <w:r>
        <w:t>https://mcp.opencaselaw.ch/entscheid/zh_obergericht_NP160041</w:t>
      </w:r>
    </w:p>
    <w:p>
      <w:r>
        <w:t>FR: ZH_OBERGERICHT NP160041 du 2 février 2017</w:t>
      </w:r>
    </w:p>
    <w:p>
      <w:r>
        <w:t>IT: ZH_OBERGERICHT NP160041 del 2 febbraio 2017</w:t>
      </w:r>
    </w:p>
    <w:p>
      <w:pPr>
        <w:pStyle w:val="Heading2"/>
      </w:pPr>
      <w:r>
        <w:t>Erwägungen</w:t>
      </w:r>
    </w:p>
    <w:p>
      <w:r>
        <w:rPr>
          <w:b/>
        </w:rPr>
        <w:t>E. 1</w:t>
      </w:r>
    </w:p>
    <w:p>
      <w:r>
        <w:t>Am 18. Februar 2016 reichte die Klägerin und Berufungsbeklagte (nachfol- gend Klägerin) unter Beilage der Klagebewilligung des Friedensrichteramtes D._____ vom 11. November 2015 (Urk. 5/1) bei der Vorinstanz eine Klage betref- fend Löschung einer Dienstbarkeit ein (Urk. 5/2). Innert dreimal erstreckter Frist für die schriftliche Stellungnahme gemäss Art. 245 Abs. 2 ZPO beantragten die Beklagten, Berufungskläger und Beschwerdeführer (nachfolgend Beklagte) mit Eingabe vom 27. Juni 2016, es sei auf die Klage mangels Prozessfähigkeit der Klägerin, eventualiter mangels Rechtsschutzinteresses, nicht einzutreten. Weiter sei ihnen die Frist zum Einreichen der Klageantwort abzunehmen und diese nach dem Entscheid betreffend Eintreten auf die Klage gegebenenfalls neu anzusetzen (Urk. 5/13). Am 5. September 2016 nahm die Klägerin zur Eingabe der Beklagten Stellung und beantragte die Abweisung der Anträge der Beklagten, soweit darauf einzutreten sei (Urk. 5/18). Mit Verfügung vom 9. September 2016 entschied die Vorinstanz Folgendes (Urk. 2 = Urk. 5/20):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