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NP160015 vom 15. September 2016</w:t>
      </w:r>
    </w:p>
    <w:p>
      <w:r>
        <w:t>ZH Obergericht, 2016-09-15, DE</w:t>
      </w:r>
    </w:p>
    <w:p>
      <w:r>
        <w:rPr>
          <w:b/>
        </w:rPr>
        <w:t xml:space="preserve">Quelle: </w:t>
      </w:r>
      <w:r>
        <w:t>https://mcp.opencaselaw.ch/entscheid/zh_obergericht_NP160015</w:t>
      </w:r>
    </w:p>
    <w:p>
      <w:r>
        <w:t>FR: ZH_OBERGERICHT NP160015 du 15 septembre 2016</w:t>
      </w:r>
    </w:p>
    <w:p>
      <w:r>
        <w:t>IT: ZH_OBERGERICHT NP160015 del 15 settembre 2016</w:t>
      </w:r>
    </w:p>
    <w:p>
      <w:pPr>
        <w:pStyle w:val="Heading2"/>
      </w:pPr>
      <w:r>
        <w:t>Erwägungen</w:t>
      </w:r>
    </w:p>
    <w:p>
      <w:r>
        <w:rPr>
          <w:b/>
        </w:rPr>
        <w:t>E. 1</w:t>
      </w:r>
    </w:p>
    <w:p>
      <w:r>
        <w:t>Januar 2013 (act. 3/1).</w:t>
      </w:r>
    </w:p>
    <w:p>
      <w:r>
        <w:rPr>
          <w:b/>
        </w:rPr>
        <w:t>E. 2</w:t>
      </w:r>
    </w:p>
    <w:p>
      <w:r>
        <w:t>Der Beklagte hat sich auf das angerufene Gericht eingelassen (Art. 18 ZPO). In der am 8. Oktober 2010 unterzeichneten Vereinbarung wurde als Ge- richtsstand Aarau vereinbart (act. 15/1). Der Kläger erhob gestützt auf Art. 83 Abs. 2 SchKG die Aberkennungsklage am Ort der Betreibung.</w:t>
      </w:r>
    </w:p>
    <w:p>
      <w:r>
        <w:rPr>
          <w:b/>
        </w:rPr>
        <w:t>E. 3</w:t>
      </w:r>
    </w:p>
    <w:p>
      <w:r>
        <w:t>Das Gericht hat von Amtes wegen zu prüfen, ob die Prozessvoraussetzun- gen erfüllt sind (vgl. Art. 60 ZPO). Die Ermächtigung zur Geltendmachung der Darlehensforderung an den Beklagten erfolgte unter Vorbehalt einer nachträgli- chen Kollokation seiner, des Beklagten, Forderung gegen die C._____ AG (act. 3/2). Das Prozessführungsrecht gemäss Art. 260 SchKG stellt gemäss einhelliger Auf- fassung in Lehre und Rechtsprechung ein Nebenrecht der Konkursforderung dar, das im Sinne des Art. 170 OR dem Schicksal dieser Konkursforderung folgt. Das Prozessmandat kann daher nur mit der Konkursforderung selbst zediert werden.</w:t>
      </w:r>
    </w:p>
    <w:p>
      <w:r>
        <w:t>- 6 - Es ist vorausgesetzt, dass der Abtretungsgläubiger Konkursgläubiger ist, und es auch bleibt (vgl. Amonn/ Walther, Grundriss des Schuldbetreibungs- und Konkurs- rechts, Bern, 2013, § 47, S. 445 ff., insbes. S. 446 N 48, mit weiteren Hinweisen, ferner etwa Berti, in: BSK-SchKG II, 2. A., Basel 2010, Art. 260 N 33 sowie N 28 ff, je mit Verweisen). Es ist androhungsgemäss (vorne E. I/2) davon auszugehen, dass die Forderung des Beklagten gegen die C._____ AG in Liquidation nicht kol- loziert wurde bzw. im Kollokationsplan gestrichen wurde (act. 47, act. 48/2). Damit hat der Beklagte seine Eigenschaft als Konkursgläubiger und das Recht darauf eingebüsst, die mit der Konkursgläubigereigenschaft verbundenen Ansprüche gel- tend zu machen. Da das Prozessführungsrecht im Sinne von Art. 260 SchKG ein Nebenrecht der Konkursforderung ist, fällt es mit der rechtskräftigen Abweisung der Konkursforderung auch dahin. Der Beklagte ist kein Gläubiger im Konkursver- fahren der C._____ AG in Liquidation, damit steht ihm kein Prozessführungsrecht zu. Der Beklagte kann die Darlehensforderung gegenüber dem Kläger nicht gel- tend machen. Die Aberkennungsklage ist gutzuheissen.</w:t>
      </w:r>
    </w:p>
    <w:p>
      <w:r>
        <w:rPr>
          <w:b/>
        </w:rPr>
        <w:t>E. 4</w:t>
      </w:r>
    </w:p>
    <w:p>
      <w:r>
        <w:t>Da sich das Bezirksgericht und die Parteien mit dem Erlöschungsgrund der Verrechnung (Art. 120 OR) auseinandersetzten, ist der Vollständigkeit halber Nachfolgendes zu sagen: Die Abtretung nach Art. 260 SchKG bewirkt keine Ab- tretung im zivilrechtlichen Sinne der Art. 164 ff. OR, sondern verleiht ein Prozess- führungsrecht mit Anspruch auf Vorausbefriedigung aus dem erzielten Erlös (BSK SchKG II-Berti N 4 zu Art. 260 SchKG mit weiteren Hinweisen). Weil diese Abtre- tung nicht den Übergang materieller Rechte bewirkt, ist der Drittschuldner (der Kläger), gegen den der Abtretungsgläubiger (Beklagter) vorgeht, auf die Einreden beschränkt, die er gegenüber dem Gemeinschuldner (der C._____ AG) oder der Masse besitzt. Einreden gegen den Abtretungsgläubiger persönlich, wie etwa die Verrechnungseinrede, kann er nicht erheben (so auch Ammon / Walther, a.a.O., § 47 N 59, S. 387). Es fehlt an der Voraussetzung der Gegenseitigkeit der Forde- rungen. Der Kläger macht die Verrechnungsforderungen gegenüber dem Beklag- ten persönlich geltend, nämlich: Aufwandentschädigung im Betrag von Fr. 3'780.-- für die Reise nach Berlin im Spätherbst 2011, welche der Kläger eigenen Anga- ben zufolge für den Beklagten unternommen hatte (act. 37 S. 7 f.), Aufwandent- schädigung im Betrag von Fr. 6'120.-- für Fahrten, bei denen er die Tochter des</w:t>
      </w:r>
    </w:p>
    <w:p>
      <w:r>
        <w:t>- 7 - Beklagten in die Kindertagesstätte und zurück chauffierte, (act. 37 S. 8 f.) und so- dann Aufwandentschädigung im Betrag von Fr. 15'300.-- für den Einsitz im Ver- waltungsrat von Gesellschaften des Beklagten während 4 Jahren (act. 37 S. 10). Auch die letztgenannte Forderung macht der Kläger gegenüber dem Beklagten geltend, er (der Kläger) sei vom Beklagten einem Hampelmann ähnlich in ver- schiedene Gesellschaften als Geschäftsführer und Verwaltungsrat eingesetzt worden, er habe seinen Kopf für den Beklagten in seinen Gesellschaften hinhal- ten müssen, ohne dass er hierfür in irgendeiner Form entschädigt worden sei, im Gegenteil, es seien Probleme entstanden (act. 13 S. 8). Der Kläger könnte diese (Verrechnungs-)Forderungen dem Anspruch des Beklagten aus Darlehen, wenn er denn bestünde, nicht entgegen halten. Schliesslich ist mit dem Kläger von einer unentgeltlichen Auftragserfüllung nur dann auszugehen, wenn ein freundschaftli- ches Verhältnis zwischen Auftraggeber (Beklagter) und Beauftragten (Kläger) be- steht. Ein solches freundschaftliches Verhältnis wäre vorliegend aufgrund der Be- hauptungen nicht anzunehmen (act. 19 S. 7). Die hier zur Diskussion stehenden Dienstleistungen wären als entgeltlich zu taxieren (gewesen; Art. 394 Abs. 3 OR).</w:t>
      </w:r>
    </w:p>
    <w:p>
      <w:r>
        <w:rPr>
          <w:b/>
        </w:rPr>
        <w:t>E. 5</w:t>
      </w:r>
    </w:p>
    <w:p>
      <w:r>
        <w:t>Die Gerichtskosten für das zweitinstanzliche Verfahren werden dem Beklag- ten und Berufungsbeklagten auferlegt und mit vom Kläger geleisteten Kos- tenvorschuss (Bel-Nr. 2) verrechnet. Der Beklagte und Berufungsbeklagte wird verpflichtet, dem Kläger und Berufungskläger den geleisteten Vor- schuss im Betrag von Fr. 2'500.-- zu ersetzen.</w:t>
      </w:r>
    </w:p>
    <w:p>
      <w:r>
        <w:rPr>
          <w:b/>
        </w:rPr>
        <w:t>E. 6</w:t>
      </w:r>
    </w:p>
    <w:p>
      <w:r>
        <w:t>Der Beklagte und Berufungsbeklagte wird verpflichtet, dem Kläger und Beru- fungskläger für beide Verfahren eine Parteientschädigung von Fr. 6'930.-- zu bezahlen.</w:t>
      </w:r>
    </w:p>
    <w:p>
      <w:r>
        <w:rPr>
          <w:b/>
        </w:rPr>
        <w:t>E. 7</w:t>
      </w:r>
    </w:p>
    <w:p>
      <w:r>
        <w:t>Schriftliche Mitteilung an die Parteien, an den Kläger unter Beilage eines Doppels von act. 45 und 46, die Obergerichtskasse sowie an das Bezirksge- richt Affoltern, je gegen Empfangsschein.</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20'000.--. Die Beschwerde an das Bundesgericht hat keine aufschiebende Wirkung.</w:t>
      </w:r>
    </w:p>
    <w:p>
      <w:r>
        <w:t>- 10 - Obergericht des Kantons Zürich II. Zivilkammer Der Gerichtsschreiber: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