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NP150019 vom 24. November 2015</w:t>
      </w:r>
    </w:p>
    <w:p>
      <w:r>
        <w:t>ZH Obergericht, 2015-11-24, DE</w:t>
      </w:r>
    </w:p>
    <w:p>
      <w:r>
        <w:rPr>
          <w:b/>
        </w:rPr>
        <w:t xml:space="preserve">Quelle: </w:t>
      </w:r>
      <w:r>
        <w:t>https://mcp.opencaselaw.ch/entscheid/zh_obergericht_NP150019</w:t>
      </w:r>
    </w:p>
    <w:p>
      <w:r>
        <w:t>FR: ZH_OBERGERICHT NP150019 du 24 novembre 2015</w:t>
      </w:r>
    </w:p>
    <w:p>
      <w:r>
        <w:t>IT: ZH_OBERGERICHT NP150019 del 24 novembre 2015</w:t>
      </w:r>
    </w:p>
    <w:p>
      <w:pPr>
        <w:pStyle w:val="Heading2"/>
      </w:pPr>
      <w:r>
        <w:t>Erwägungen</w:t>
      </w:r>
    </w:p>
    <w:p>
      <w:r>
        <w:rPr>
          <w:b/>
        </w:rPr>
        <w:t>E. 1</w:t>
      </w:r>
    </w:p>
    <w:p>
      <w:r>
        <w:t>Die Berufung wird abgewiesen und das Urteil des Einzelgerichts im verein- fachten Verfahren am Bezirksgericht Zürich vom 17. Juni 2015 wird bestä- tigt.</w:t>
      </w:r>
    </w:p>
    <w:p>
      <w:r>
        <w:rPr>
          <w:b/>
        </w:rPr>
        <w:t>E. 2</w:t>
      </w:r>
    </w:p>
    <w:p>
      <w:r>
        <w:t>Die zweitinstanzliche Entscheidgebühr wird auf Fr. 2'000.– festgesetzt.</w:t>
      </w:r>
    </w:p>
    <w:p>
      <w:r>
        <w:rPr>
          <w:b/>
        </w:rPr>
        <w:t>E. 3</w:t>
      </w:r>
    </w:p>
    <w:p>
      <w:r>
        <w:t>Die Gerichtskosten für das zweitinstanzliche Verfahren werden dem Kläger auferlegt und mit seinem Kostenvorschuss verrechnet.</w:t>
      </w:r>
    </w:p>
    <w:p>
      <w:r>
        <w:rPr>
          <w:b/>
        </w:rPr>
        <w:t>E. 4</w:t>
      </w:r>
    </w:p>
    <w:p>
      <w:r>
        <w:t>Es werden keine Parteientschädigungen zugesprochen.</w:t>
      </w:r>
    </w:p>
    <w:p>
      <w:r>
        <w:t>- 10 -</w:t>
      </w:r>
    </w:p>
    <w:p>
      <w:r>
        <w:rPr>
          <w:b/>
        </w:rPr>
        <w:t>E. 5</w:t>
      </w:r>
    </w:p>
    <w:p>
      <w:r>
        <w:t>Schriftliche Mitteilung an die Parteien, an die Beklagte unter Beilage einer Kopie von Urk. 22A und 22B sowie eines Doppels von Urk. 24 und Urk. 25/1-8,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27'365.–. Die Beschwerde an das Bundesgericht hat keine aufschiebende Wirkung. Hinsichtlich des Fristenlaufs gel- ten die Art. 44 ff. BGG. Zürich, 24. November 2015 Obergericht des Kantons Zürich I. Zivilkammer Die Vorsitzende: Die Gerichtsschreiberin: Dr. L. Hunziker Schnider lic. iur. K. Montani Schmidt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