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NP150004 vom 19. März 2015</w:t>
      </w:r>
    </w:p>
    <w:p>
      <w:r>
        <w:t>ZH Obergericht, 2015-03-19, DE</w:t>
      </w:r>
    </w:p>
    <w:p>
      <w:r>
        <w:rPr>
          <w:b/>
        </w:rPr>
        <w:t xml:space="preserve">Quelle: </w:t>
      </w:r>
      <w:r>
        <w:t>https://mcp.opencaselaw.ch/entscheid/zh_obergericht_NP150004</w:t>
      </w:r>
    </w:p>
    <w:p>
      <w:r>
        <w:t>FR: ZH_OBERGERICHT NP150004 du 19 mars 2015</w:t>
      </w:r>
    </w:p>
    <w:p>
      <w:r>
        <w:t>IT: ZH_OBERGERICHT NP150004 del 19 marzo 2015</w:t>
      </w:r>
    </w:p>
    <w:p>
      <w:pPr>
        <w:pStyle w:val="Heading2"/>
      </w:pPr>
      <w:r>
        <w:t>Erwägungen</w:t>
      </w:r>
    </w:p>
    <w:p>
      <w:r>
        <w:rPr>
          <w:b/>
        </w:rPr>
        <w:t>E. 1</w:t>
      </w:r>
    </w:p>
    <w:p>
      <w:r>
        <w:t>Die Beklagte und Berufungsklägerin (nachfolgend Beklagte) betreibt in … eine Zahnarztpraxis. Die Klägerin und Berufungsbeklagte (nachfolgend Klägerin) ist eine …firma, welche für die Beklagte …arbeiten erledigt sowie …, …, … und … etc. hergestellt hat. Gegenstand des Verfahrens bilden von der Beklagte unbe- zahlt gebliebene Rechnungen, welchen die Beklagte ihrerseits Verrechnungsfor- derungen gegenüberstellt.</w:t>
      </w:r>
    </w:p>
    <w:p>
      <w:r>
        <w:rPr>
          <w:b/>
        </w:rPr>
        <w:t>E. 2</w:t>
      </w:r>
    </w:p>
    <w:p>
      <w:r>
        <w:t>Mit Eingabe vom 14. August 2013 erhob die Klägerin bei der Vorinstanz Klage mit eingangs erwähntem Rechtsbegehren (act. 1 und 2). Nach Leistung des Prozesskostenvorschusses fand am 24. September 2013 die Hauptverhandlung statt (act. 13A = Prot. VI S. 1 ff.); ein dort abgeschlossener Vergleich wurde von der Beklagten fristgerecht widerrufen. Am 28. Dezember 2013 erliess die Vor- instanz die Beweisverfügung, mit welcher die Parteien aufgefordert wurden, dem Gericht Unterlagen einzureichen, worauf die Klägerin die Klage um CHF 935.00 reduzierte. Die Beklagte reichte ihre Beweismittel erst nach Ablauf der Frist ein. Die Parteien verzichteten in der Folge auf einen mündlichen Schlussvortrag und sie erstatteten ihre schriftlichen Schlussvorträge. Mit Urteil vom 18. Dezember 2014 hiess die Vorinstanz die Klage weitgehend gut (act. 56). Das Urteil wurde der in der Schlussphase des erstinstanzlichen Verfahrens anwaltlich vertretenen Beklagten am 6. Januar 2015 zugestellt (act. 51/1).</w:t>
      </w:r>
    </w:p>
    <w:p>
      <w:r>
        <w:rPr>
          <w:b/>
        </w:rPr>
        <w:t>E. 3</w:t>
      </w:r>
    </w:p>
    <w:p>
      <w:r>
        <w:t>Die Gerichtskosten für das zweitinstanzliche Verfahren werden der Beklag- ten und Berufungsklägerin auferlegt und mit dem von ihr geleisteten Kosten- vorschuss verrechnet.</w:t>
      </w:r>
    </w:p>
    <w:p>
      <w:r>
        <w:rPr>
          <w:b/>
        </w:rPr>
        <w:t>E. 4</w:t>
      </w:r>
    </w:p>
    <w:p>
      <w:r>
        <w:t>Es werden keine Parteientschädigungen zugesprochen.</w:t>
      </w:r>
    </w:p>
    <w:p>
      <w:r>
        <w:rPr>
          <w:b/>
        </w:rPr>
        <w:t>E. 5</w:t>
      </w:r>
    </w:p>
    <w:p>
      <w:r>
        <w:t>Schriftliche Mitteilung an die Parteien, an die Klägerin und Berufungsbeklag- te unter Beilage des Doppels von act. 53, sowie an das Bezirksgericht Mei- len, Einzelgericht im vereinfachten Verfahren, und an die Obergerichtskas- se, je gegen Empfangsschein. Nach unbenutztem Ablauf der Rechtsmittelfrist gehen die erstinstanzlichen Akten an die Vorinstanz zurück.</w:t>
      </w:r>
    </w:p>
    <w:p>
      <w:r>
        <w:t>- 11 -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ca. Fr. 12'000.00.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