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NP140011 vom 9. September 2014</w:t>
      </w:r>
    </w:p>
    <w:p>
      <w:r>
        <w:t>ZH Obergericht, 2014-09-09, DE</w:t>
      </w:r>
    </w:p>
    <w:p>
      <w:r>
        <w:rPr>
          <w:b/>
        </w:rPr>
        <w:t xml:space="preserve">Quelle: </w:t>
      </w:r>
      <w:r>
        <w:t>https://mcp.opencaselaw.ch/entscheid/zh_obergericht_NP140011</w:t>
      </w:r>
    </w:p>
    <w:p>
      <w:r>
        <w:t>FR: ZH_OBERGERICHT NP140011 du 9 septembre 2014</w:t>
      </w:r>
    </w:p>
    <w:p>
      <w:r>
        <w:t>IT: ZH_OBERGERICHT NP140011 del 9 settembre 2014</w:t>
      </w:r>
    </w:p>
    <w:p>
      <w:pPr>
        <w:pStyle w:val="Heading2"/>
      </w:pPr>
      <w:r>
        <w:t>Erwägungen</w:t>
      </w:r>
    </w:p>
    <w:p>
      <w:r>
        <w:rPr>
          <w:b/>
        </w:rPr>
        <w:t>E. 3</w:t>
      </w:r>
    </w:p>
    <w:p>
      <w:r>
        <w:t>Parteientschädigungen werden nicht zugesprochen.</w:t>
      </w:r>
    </w:p>
    <w:p>
      <w:r>
        <w:rPr>
          <w:b/>
        </w:rPr>
        <w:t>E. 4</w:t>
      </w:r>
    </w:p>
    <w:p>
      <w:r>
        <w:t>Schriftliche Mitteilung an die Parteien, an die Beklagten unter Beilage eines Doppels von act. 14, sowie an das Bezirksgericht Meilen, je gegen Emp- fangsschein, ferner an die Obergerichtskasse.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Der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