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NP120003 vom 20. März 2012</w:t>
      </w:r>
    </w:p>
    <w:p>
      <w:r>
        <w:t>ZH Obergericht, 2012-03-20, DE</w:t>
      </w:r>
    </w:p>
    <w:p>
      <w:r>
        <w:rPr>
          <w:b/>
        </w:rPr>
        <w:t xml:space="preserve">Quelle: </w:t>
      </w:r>
      <w:r>
        <w:t>https://mcp.opencaselaw.ch/entscheid/zh_obergericht_NP120003</w:t>
      </w:r>
    </w:p>
    <w:p>
      <w:r>
        <w:t>FR: ZH_OBERGERICHT NP120003 du 20 mars 2012</w:t>
      </w:r>
    </w:p>
    <w:p>
      <w:r>
        <w:t>IT: ZH_OBERGERICHT NP120003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in der Betreibung Nr. .. des Betreibungsamtes C._____ der Rechtsvorschlag aufzuheben.</w:t>
      </w:r>
    </w:p>
    <w:p>
      <w:r>
        <w:rPr>
          <w:b/>
        </w:rPr>
        <w:t>E. 3</w:t>
      </w:r>
    </w:p>
    <w:p>
      <w:r>
        <w:t>Alles unter Kosten- und Entschädigungsfolgen zu Lasten des Be- klagten." Urteil des Einzelgerichtes im vereinfachten Verfahren des Bezirksgerichtes Winterthur vom 19. Januar 2012: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