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NH140004 vom 24. September 2014</w:t>
      </w:r>
    </w:p>
    <w:p>
      <w:r>
        <w:t>ZH Obergericht, 2014-09-24, DE</w:t>
      </w:r>
    </w:p>
    <w:p>
      <w:r>
        <w:rPr>
          <w:b/>
        </w:rPr>
        <w:t xml:space="preserve">Quelle: </w:t>
      </w:r>
      <w:r>
        <w:t>https://mcp.opencaselaw.ch/entscheid/zh_obergericht_NH140004</w:t>
      </w:r>
    </w:p>
    <w:p>
      <w:r>
        <w:t>FR: ZH_OBERGERICHT NH140004 du 24 septembre 2014</w:t>
      </w:r>
    </w:p>
    <w:p>
      <w:r>
        <w:t>IT: ZH_OBERGERICHT NH140004 del 24 settembre 2014</w:t>
      </w:r>
    </w:p>
    <w:p>
      <w:pPr>
        <w:pStyle w:val="Heading2"/>
      </w:pPr>
      <w:r>
        <w:t>Volltext</w:t>
      </w:r>
    </w:p>
    <w:p>
      <w:r>
        <w:t>Art. 14 BG-KKE, Art. 26 HKÜ, Kosten der Rechtsvertretung des Gesuchs- gegners. Anders als beim Gesuchsteller gelten hier die Regeln der unentgeltli- chen Prozessführung. (aus den Erwägungen des Obergerichts:) 4. Weder Art. 26 HKÜ noch Art. 14 BG-KKE enthalten eine Regelung betref- fend die Entschädigung für eine Rechtsvertreterin für diejenige Partei, gegen wel- che das Rückführungsbegehren gerichtet ist. Damit sind unabhängig von einem allfälligen Vorbehalt im Sinne von Art. 26 Abs. 3 HKÜ die Regeln über die unent- geltliche Rechtspflege nach Art. 117 ZPO einschlägig und es ist insbesondere auch eine Rückforderung der Entschädigung gestützt auf Art. 123 ZPO möglich (vgl. BGer 5A_716/2012 vom 3. Dezember 2012, E. 4.2, wonach die absolute Kostenfreiheit des Rückführungsverfahrens nach Art. 26 Abs. 1 HKÜ nur für die das Begehren stellende Partei gilt). Obergericht, II. Zivilkammer Beschluss vom 24. September 2014 Geschäfts-Nr.: NH140004-O/Z09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