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NG250003 vom 30. April 2025</w:t>
      </w:r>
    </w:p>
    <w:p>
      <w:r>
        <w:t>ZH Obergericht, 2025-04-30, DE</w:t>
      </w:r>
    </w:p>
    <w:p>
      <w:r>
        <w:rPr>
          <w:b/>
        </w:rPr>
        <w:t xml:space="preserve">Quelle: </w:t>
      </w:r>
      <w:r>
        <w:t>https://mcp.opencaselaw.ch/entscheid/zh_obergericht_NG250003</w:t>
      </w:r>
    </w:p>
    <w:p>
      <w:r>
        <w:t>FR: ZH_OBERGERICHT NG250003 du 30 avril 2025</w:t>
      </w:r>
    </w:p>
    <w:p>
      <w:r>
        <w:t>IT: ZH_OBERGERICHT NG250003 del 30 aprile 2025</w:t>
      </w:r>
    </w:p>
    <w:p>
      <w:pPr>
        <w:pStyle w:val="Heading2"/>
      </w:pPr>
      <w:r>
        <w:t>Erwägungen</w:t>
      </w:r>
    </w:p>
    <w:p>
      <w:r>
        <w:rPr>
          <w:b/>
        </w:rPr>
        <w:t>E. 13</w:t>
      </w:r>
    </w:p>
    <w:p>
      <w:r>
        <w:t>Juni 2024 nicht ein (BGer 4A_314/2024; vgl. act. 5/28). Mit Urteil vom 20 No- vember 2024 erstreckte die Vorinstanz das Mietverhältnis erstmalig bis am 30. September 2025 (act. 3 [= act. 5/33]).</w:t>
      </w:r>
    </w:p>
    <w:p>
      <w:r>
        <w:t>- 3 - 1.3 Gegen diesen Entscheid erhob die Klägerin mit Eingabe vom 12. Januar 2025 (Datum Poststempel) rechtzeitig Berufung und beantragte im Wesentlichen die Abweisung des Erstreckungsbegehrens (act. 2; vgl. zur Rechtzeitigkeit act. 5/34/1). Die vorinstanzlichen Akten wurden beigezogen (act. 5/1–34). Mit Ver- fügung vom 22. Januar 2025 wurde der Klägerin Frist zur Leistung eines Vor- schusses für die mutmasslichen Gerichtskosten angesetzt und es wurde die Pro- zessleitung delegiert (act. 7). Der Vorschuss wurde innert erstreckter Frist geleis- tet (act. 7–11). Mit Verfügung vom 18. Februar 2024 wurde der Beklagten Frist zur Erstattung der Berufungsantwort angesetzt (act. 12). Eine Berufungsantwort ging innert Frist nicht ein. 1.4 Mit Eingabe vom 23. April 2025 teilte die Beklagte mit, dass die Parteien sich aussergerichtlich geeinigt hätten und das Berufungsverfahren als durch Ver- gleich erledigt abzuschreiben sei (act. 14). Die beigelegte Vereinbarung der Par- teien vom 20. März 2025 lautet wie folgt (act. 15): "I. Feststellungen Die Rechtsvorgängerin der Klägerin vermietete der Beklagten mit Mietvertrag vom 10. und 18. Juli 2018 (nachfolgend als "Mietver- trag" bezeichnet) verschiedene Flächen in der Liegenschaft D._____-strasse 1, … E._____, namentlich "Produktionsflächen" von 389 m2 im Erdgeschoss und von 160 m2 im 1. Obergeschoss, sowie eine Lagerfläche von 284 m2 im Zwischengeschoss. In der Folge mietete die Beklagte noch einen Abstellplatz dazu (nachfol- gend alle Objekte zusammen als "Mietobjekt" bezeichnet). Die Klägerin ist durch den Erwerb des Mietobjekts als Vermieterin in den Mietvertrag eingetreten. Die Klägerin hat den Mietvertrag samt Abstellplatz mit amtlichem Formular vom 1. April 2022 auf den 30. November 2022 gekün- digt. Die Beklagte hat die Kündigung fristgerecht angefochten und ein Erstreckungsbegehren gestellt. Die Kündigung wurde vom Obergericht Zürich mit Urteil vom 12. März 2024 für gültig erklärt (Geschäfts-Nr. NG230014-O). Gegen das Urteil des Mietgerichts Meilen betreffend Erstreckung vom 20. November 2024 hat die Klägerin die (erneute) Berufung ergriffen, das entsprechende Ver- fahren ist unter der Geschäfts-Nr.: NG250003-O am Obergericht Zürich hängig. Zur Erledigung des noch hängigen Verfahrens schliessen die Par- teien die nachfolgende Il. Vereinbarung</w:t>
      </w:r>
    </w:p>
    <w:p>
      <w:r>
        <w:t>- 4 - 1. Die Parteien stellen übereinstimmend fest, dass die Kündigung vom 1. April 2022 betreffend das Mietobjekt gültig und wirksam ist. 2. Das Mietverhältnis wird einmalig und definitiv bis zum 30. Sep- tember 2025 erstreckt. Die Beklagte verpflichtet sich, das Mietob- jekt spätestens auf diesen Zeitpunkt endgültig zu verlassen und der Klägerin vollständig geräumt und besenrein gereinigt zurück- zugeben. Eine weitere Erstreckung ist ausgeschlossen. 3. Die Beklagte ist berechtigt, das Mietobjekt vor dem in Ziffer 2 vor- stehend genannten Zeitpunkt auf jedes Monatsende zurückzuge- ben, sofern sie dies der Klägerin (bzw. der Liegenschaftenverwal- tung) mindestens 30 Tage im Voraus mit eingeschrieben zuge- stelltem Brief anzeigt. Macht die Beklagte von diesem vorzeitigen Auszugsrecht Gebrauch, besteht die Mietzinszahlungspflicht nur bis zum Zeitpunkt des Auszuges. 4. Die Parteien vereinbaren verbindlich als Vorvertrag im Sinne von Art. 22 Abs. 1 OR, zwei Mietverträge über je einen der beiden ge- meinsam besichtigten ehemaligen "Kalträume" im Untergeschoss der Liegenschaft D._____-strasse 2 in … E._____ – circa 413m2 im 1. UG und ca. 509m2 im 2. UG – (nachfolgend zusammen das "zu vermietende Mietobjekt" bezeichnet) abzuschliessen. Dabei gelten insbesondere folgende Bestimmungen: ● Der Nettomietzins beträgt CHF 50.00 pro m2 und Jahr; ● Die zur Liegenschaft gehörende Laderampe und der Vor- platz sind nicht Teil des zu vermietenden Mietobjekts, dürfen aber im üblichen Rahmen für Anlieferungen mitbenutzt wer- den. Der Beklagten wird zudem einer der vorhandenen Briefkästen zugewiesen; ● Das zu vermietende Mietobjekt darf ausschliesslich zu La- gerzwecken im üblichen Umfang verwendet werden. Andere Nutzungen, insbesondere als Gewerbe, sind – unabhängig davon, ob sie einer Bewilligung bedürfen oder bewilligungs- fähig sind – untersagt. Das zu vermietende Mietobjekt ist nicht für den dauerhaften Aufenthalt von Personen geeignet; ● Die Klägerin stellt der Beklagten die zwei vorhandenen Ent- feuchtungsgeräte zur Nutzung zur Verfügung, der Stromver- brauch geht gemäss abzuschliessendem Mietvertrag zu Lasten der Beklagten; ● Mietbeginn ist spätestens der 1. Oktober 2025. Der Beklagte ist berechtigt, das Mietobjekt bereits nach Unterzeichnung des Mietvertrags zu übernehmen, wodurch der nachfol- gende Monatserste als Mietbeginn gilt. Die Mietzinszah- lungspflicht beginnt aber in jedem Fall am 1. Oktober 2025. Als Ausnahme gilt, dass für vor dem 1. Oktober 2025 unter-</w:t>
      </w:r>
    </w:p>
    <w:p>
      <w:r>
        <w:t>- 5 - vermietete Flächen der auf diese Fläche entfallende Miet- zins anteilsmässig geschuldet ist; ● Die Mietdauer beträgt 10 Jahre und ist befristet im Sinne von Art. 255 Abs. 2 OR. Sie kann in gegenseitigem Einverneh- men verlängert werden; ● Die Beklagte nimmt zur Kenntnis und ist damit einverstan- den, dass die Klägerin den noch vorhandenen Verbindungs- tunnel in das Nachbarsgebäude zurückbaut. Mit dem Rück- bau des Verbindungstunnels wird die Öffnung auf der Höhe der Aussenwand geschlossen. Die dafür notwendigen Arbei- ten sind zu ermöglichen (falls der Bereich geräumt werden muss etc.), der Bereich um den Verbindungstunnel muss bis zur Erledigung der Arbeiten frei von festen Einrichtungen sein. Allfällige Beeinträchtigungen durch die vorzunehmen- den Arbeiten gelten als durch diese Vergleichslösung abge- golten; ● Die Untervermietung ist der Beklagten erlaubt, solange kein Zwischengewinn erzielt wird, welcher 10% des Nettomietzin- ses übersteigt und nicht mehr als fünf Untermieter gleichzei- tig vorhanden sind. Vermietungen an und Wechsel der Un- termieter sind der Beklagten vorab schriftlich unter Bekannt- gabe der Bedingungen bekanntzugeben; ● Die Beklagte ist berechtigt, einen der Mietverträge auf die F._____ GmbH als Mieterin ausstellen zu lassen. ● Die Beklagte ist ausserdem berechtigt, nur einen der beiden Mietverträge abzuschliessen, also nur einen der beiden Räume zu mieten und auf den Abschluss des zweiten Miet- vertrags zu verzichten. 5. Die Parteien beantragen dem Obergericht Zürich gemeinsam, das unter der Geschäfts-Nr.: NG250003-O anhängige Verfahren be- treffend Berufung gegen ein Urteil des Mietgerichts des Bezirks- gerichtes Meilen vom 20. November 2024 (MJ240008) als durch Vergleich erledigt am Protokoll abzuschreiben. Die Parteien über- nehmen die Gerichtskosten des Berufungsverfahrens je zur Hälfte und verzichten gegenseitig auf eine Parteientschädigung. 6. Änderungen und Ergänzungen dieser Vereinbarung bedürfen zur Gültigkeit der Schriftform. Dies gilt auch für die Aufhebung des Schriftformvorbehaltes." 2. Aufgrund dieser Vereinbarung der Parteien ist das vorliegende Berufungs- verfahren als erledigt abzuschreiben (Art. 241 Abs. 2 und 3 ZPO). 3.1 Gemäss Regelung in der Vereinbarung übernehmen die Parteien die Ge- richtskosten je zur Hälfte und verzichtet gegenseitig auf eine Parteientschädigung</w:t>
      </w:r>
    </w:p>
    <w:p>
      <w:r>
        <w:t>- 6 - (vorstehend Ziff. 5 der Vereinbarung). Die Regelung kann antragsgemäss ohne Weiteres übernommen werden. 3.2 Die Entscheidgebühr ist in Anwendung von § 4 Abs. 1 bis 3, § 7 lit. a, § 10 Abs. 1 sowie § 12 Abs. 1 und 2 GebV OG auf Fr. 4'600.– festzusetzen. Die Par- teien sind darauf hinzuweisen, dass im Zeitpunkt der Einreichung der Vereinba- rung die Entscheidredaktion bereits sehr weit fortgeschritten war, was bei der Höhe der Entscheidgebühr zu berücksichtigen ist. 3.3 Aus dem revidierten Art. 111 Abs. 1 ZPO (in Kraft seit dem 1. Januar 2025) ergibt sich, dass ein geleisteter Vorschuss im Rahmen der Liquidation der Pro- zesskosten soweit (und nur) herangezogen werden kann, wie die Vorschuss leis- tende Partei kostenpflichtig wird. Es fragt sich, ob diese Bestimmung auf das vor- liegende Rechtsmittelverfahren bereits Anwendung findet oder ob noch die Be- stimmung von aArt. 111 Abs. 1 ZPO gilt, demgemäss die Gerichtskosten mit den Vorschüssen der Parteien verrechnet werden, unabhängig davon, wer den Vor- schuss geleistet hat und wer kostenpflichtig wird. Der revidierte Art. 111 Abs. 1 ZPO wird im Katalog der mit Inkrafttreten der Änderungen sofort geltenden Be- stimmungen nicht erwähnt (Art. 407f ZPO). Für die Bestimmungen, die in Art. 407f ZPO nicht erwähnt werden, geltend jedoch die allgemeinen Übergangsbestim- mungen von Art. 404–407 ZPO (BSK ZPO-WILLISEGGER, 4. Aufl. 2024, Art. 407f N 5 und 17). Gemäss Art. 405 Abs. 1 ZPO gilt für Rechtsmittel das Recht, das bei der Eröffnung des (vorinstanzlichen) Entscheids in Kraft ist. Der angefochtene Entscheid erging am 20. November 2024, weshalb der revidierte Art. 111 Abs. 1 ZPO vorliegend keine Anwendung findet. Die Liquidation der Prozesskosten hat nach altem Recht zu erfolgen.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