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NG230017 vom 15. April 2024</w:t>
      </w:r>
    </w:p>
    <w:p>
      <w:r>
        <w:t>ZH Obergericht, 2024-04-15, DE</w:t>
      </w:r>
    </w:p>
    <w:p>
      <w:r>
        <w:rPr>
          <w:b/>
        </w:rPr>
        <w:t xml:space="preserve">Quelle: </w:t>
      </w:r>
      <w:r>
        <w:t>https://mcp.opencaselaw.ch/entscheid/zh_obergericht_NG230017</w:t>
      </w:r>
    </w:p>
    <w:p>
      <w:r>
        <w:t>FR: ZH_OBERGERICHT NG230017 du 15 avril 2024</w:t>
      </w:r>
    </w:p>
    <w:p>
      <w:r>
        <w:t>IT: ZH_OBERGERICHT NG230017 del 15 aprile 2024</w:t>
      </w:r>
    </w:p>
    <w:p>
      <w:pPr>
        <w:pStyle w:val="Heading2"/>
      </w:pPr>
      <w:r>
        <w:t>Erwägungen</w:t>
      </w:r>
    </w:p>
    <w:p>
      <w:r>
        <w:rPr>
          <w:b/>
        </w:rPr>
        <w:t>E. 1.1</w:t>
      </w:r>
    </w:p>
    <w:p>
      <w:r>
        <w:t>Im angefochtenen Entscheid hatte die Vorinstanz zu beurteilen, ob der Be- rufungskläger mit der F1._____ AG der Berufungsbeklagten eine zumutbare Er- satzmieterin vorschlug und sich somit gestützt auf Art. 264 OR von seinen Ver- pflichtungen ihr gegenüber befreite. Sie erwog, eine Haftbefreiung komme erst ab dem Zeitpunkt der Rückgabe der Mietsache, welche durch die Rücksendung der Schlüssel am 12. März 2021 erfolgt sei, infrage (act. 47 E. IV.1). Sie verneinte, dass der Berufungskläger mit der F1._____ AG eine Ersatzmieterin gemäss Art. 264 Abs. 1 OR vorgeschlagen habe, da weder er noch die F1._____ AG der Berufungsbeklagten Unterlagen offeriert hätten, welche die Zahlungsfähigkeit der Letzteren zu belegen vermochten (act. 47 E. IV.2.2). Es bestünden ferner Zweifel, dass die F1._____ AG beabsichtigt habe, die Mietsache zu den gleichen Bedin- gungen zu übernehmen. Die Vorinstanz liess diese Frage offen, da bereits kein tauglicher Solvenznachweis erbracht worden sei (act. 47 E. IV.3). Die Berufungs- beklagte sei ihrer Schadenminderungsobliegenheit nach Art. 264 Abs. 3 OR ge- nügend nachgekommen: Sie habe die F1._____ AG als Ersatzmieterin gestützt auf berechtigte Gründe abgelehnt, die Mieträume daraufhin selbständig in der</w:t>
      </w:r>
    </w:p>
    <w:p>
      <w:r>
        <w:t>- 8 - H._____ [Zeitung] inseriert und mit diversen Mietinteressenten verhandelt, was vom Berufungskläger nicht genügend substantiiert bestritten worden sei. Letzterer habe zudem nicht aufgezeigt, welche zielführenden Suchbemühungen nötig ge- wesen wären (act. 47 E. IV. B). Der Berufungskläger befinde sich deshalb mit der Bezahlung von Mietzinsen von total Fr. 153'700.–, dem Mietzins für die Zeitdauer vom 16. Januar 2021 bis am 31. März 2022, in Verzug. Dieser Betrag sei der Be- rufungsbeklagten zuzusprechen.</w:t>
      </w:r>
    </w:p>
    <w:p>
      <w:r>
        <w:rPr>
          <w:b/>
        </w:rPr>
        <w:t>E. 1.2</w:t>
      </w:r>
    </w:p>
    <w:p>
      <w:r>
        <w:t>Dagegen bringt der Berufungskläger vor, für die Entlassung aus der Miet- zinshaftung sei der Zeitpunkt massgebend, in dem er bereit gewesen sei, die Schlüssel zur leerstehenden Mietsache auf erstes Verlangen der Berufungsbe- klagten zurückzugeben. Die Berufungsbeklagte habe sich nämlich konkludent da- mit einverstanden erklärt, dass er die Schlüssel für weitere Wohnungsbesichtigun- gen behalte (act. 48 Rz. C.1). Die Vorinstanz habe weder korrekt festgestellt, noch berücksichtigt, dass die Berufungsbeklagte die F1._____ AG bereits am 25. und 26. November 2020 aufgrund der von ihr geplanten Nutzung der Mieträume definitiv abgelehnt habe. Das Fehlen von Unterlagen zur Überprüfung der Bonität der F1._____ AG als Ablehnungsgrund sei danach (am 4. Dezember 2020) in un- zulässiger Weise nachgeschoben worden. Da die Solvenz zwischen den Parteien zuvor nicht in Zweifel gezogen worden sei, habe sie nicht belegt werden müssen. Die Vorinstanz wäre gehalten gewesen, zu überprüfen, ob gestützt auf die zuerst geltend gemachten Gründe die Ablehnung zu Recht erfolgt sei (act. 48 Rz. C.2.3 – 2.4). Dies verneint der Berufungskläger: Die geplante Nutzung hätte die Sicherheit des Hauses nicht beeinträchtigt, da die F1._____ AG auf eigene Kosten ein Badge-System hätte einbauen lassen (act. 48 Rz. C.3.4). Auch sei eine höhere Kundenfrequenz im Vergleich zur Nutzung der Mieträumlichkeiten durch eine Anwaltskanzlei zu verneinen. Sollte dies dennoch der Fall sein, ent- stehe der Berufungsbeklagten dadurch kein Nachteil (act. 48 Rz. C.3.5). Das vor- instanzliche Vorbringen, die F1._____ AG überlasse die Räume den Psychologen nicht nur zu Therapiezwecken, sondern erbringe ein ganzes Dienstleistungspaket, ändere nichts daran, dass die Räumlichkeiten bezüglich Nutzungsintensität, Im- missionen etc. zu ähnlichen Zwecken verwendet worden wären wie vom Beklag- ten bzw. von Dr. Rechtsanwalt Z._____ (act. 48 Rz. C.3.6). Die F1._____ AG</w:t>
      </w:r>
    </w:p>
    <w:p>
      <w:r>
        <w:t>- 9 - übernehme den Mietvertrag zu den gleichen Bedingungen und sei eine zumut- bare Ersatzmieterin, weshalb sie von der Berufungsbeklagten zu Unrecht abge- lehnt worden sei (act. 48 Rz. C.3.7 – 3.9). Werde die Klage in Gutheissung der Berufung abgewiesen, habe die Berufungsbeklagte ab dem 15. Januar 2021 ihm gegenüber keinen Mietzinsanspruch mehr, womit das Mietkautionskonto an ihn herauszugeben sei. Die Widerklage sei folglich begründet (act. 48 Rz. D).</w:t>
      </w:r>
    </w:p>
    <w:p>
      <w:r>
        <w:rPr>
          <w:b/>
        </w:rPr>
        <w:t>E. 1.3</w:t>
      </w:r>
    </w:p>
    <w:p>
      <w:r>
        <w:t>Eine detaillierte Wiedergabe und Auseinandersetzung mit den vorinstanzli- chen Erwägungen sowie den dagegen vorgebrachten Rügen des Berufungsklä- gers erfolgt an geeigneter Stelle. 2. 2.1. Gibt der Mieter vorzeitig die Mietsache zurück, muss er mindestens einen zumutbaren und solventen Ersatzmieter stellen (Art. 264 OR; vgl. E. III.3 nachfol- gend). Die Vorinstanz verneinte, dass die Voraussetzung der Zahlungsfähigkeit im Sinne von Art. 264 Abs. 1 OR erfüllt sei, da der Berufungskläger und die F1._____ AG es versäumt hätten, diese zu belegen. Dies begründete sie wie folgt (act. 47 E. IV.2.2): Die F1._____ AG sei erst am tt.mm.2018 gegründet worden, weshalb im Zeitpunkt der Bewerbung – Ende 2020 – noch keine Geschäftsunter- lagen vorgelegen hätten, um die Zahlungsfähigkeit zu belegen. Die Zahlungsfä- higkeit wäre deshalb in erster Linie durch Bilanzen, Erfolgsrechnungen oder Revi- sionsberichte nachzuweisen gewesen. Der Berufungsbeklagten seien aber kei- nerlei Dokumente vorgelegt worden. Vielmehr sei auf die Geschäftsverbindung der F1._____ AG zur F._____ verwiesen und behauptet worden, diese Verbin- dung belege die Zahlungsfähigkeit genügend. Der Argumentation des Berufungs- klägers, diese Geschäftsbeziehung könne aus der Webseite der G._____ AG so- wie aus der E-Mail-Adresse von Herrn E._____ – "@I._____" – hergestellt wer- den, folgte die Vorinstanz nicht, da einerseits sowohl die G._____ AG als auch deren Webseite nach dem Kontakt mit der Berufungsbeklagten entstanden seien. Andererseits sei zumindest nicht allgemein notorisch bekannt, dass die I._____s eine Ideenschmiede der F._____ sei. Deshalb sei verständlich, dass dieser Kon- nex von der Berufungsbeklagten nicht habe hergestellt werden können. Ohnehin sei nicht von Relevanz, ob die F._____ oder deren Konzerngesellschaften zah-</w:t>
      </w:r>
    </w:p>
    <w:p>
      <w:r>
        <w:t>- 10 - lungsfähig seien, bestehe doch für Aktionäre und Verwaltungsratsmitglieder eine Haftungsbeschränkung. Befänden sich die Aktien einer AG in den Händen einer Konzernmuttergesellschaft, bewirke dies ohne weitere Vereinbarungen nicht, dass die Mutter als Aktionärin für die Verpflichtungen der Tochter aufzukommen habe. Die F._____-Muttergesellschaft hätte eine Patronatserklärung abgeben oder in geeigneter Form erklären müssen, dass zukünftige Mietzinsen und weitere Verpflichtungen aus dem Mietvertrag von ihr bezahlt würden, soweit die F1._____ AG dies nicht selber tun würde. Der Berufungskläger habe nicht geltend gemacht, je so etwas offeriert zu haben. Der Argumentation, wonach die Berufungsbeklagte sich um den Solvenz- nachweis der Ersatzmieterin hätte kümmern müssen und die fehlende Solvenz als Ablehnungsgrund vorgeschoben worden sei, verwarf die Vorinstanz. Es sei rich- tig, dass sie die F1._____ AG bereits mit Schreiben vom 26. November 2020 ab- gelehnt habe. Nichtsdestotrotz habe die Berufungsbeklagte im Schreiben vom</w:t>
      </w:r>
    </w:p>
    <w:p>
      <w:r>
        <w:rPr>
          <w:b/>
        </w:rPr>
        <w:t>E. 3</w:t>
      </w:r>
    </w:p>
    <w:p>
      <w:r>
        <w:t>Die vom Berufungskläger eingereichte Rechtsmittelschrift richtet sich gegen das vorinstanzliche Urteil vom 27. September 2023. Der gleichentags gefällte Be- schluss blieb unangefochten und ist in Rechtskraft erwachsen.</w:t>
      </w:r>
    </w:p>
    <w:p>
      <w:r>
        <w:rPr>
          <w:b/>
        </w:rPr>
        <w:t>E. 4</w:t>
      </w:r>
    </w:p>
    <w:p>
      <w:r>
        <w:t>Schriftliche Mitteilung an die Parteien, an die Berufungsbeklagte unter Bei- lage eines Doppels der Berufungsschrift (act. 48), an das Bezirksgericht,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vermögensrechtliche, mietrechtliche Angelegenheit. Der Streit- wert beträgt Fr. 153'700.–. Die Beschwerde an das Bundesgericht hat keine aufschiebende Wirkung. Obergericht des Kantons Zürich II. Zivilkammer Die Vorsitzende: Die Gerichtsschreiberin: lic. iur. E. Lichti Aschwanden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