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NG210006 vom 27. Juli 2021</w:t>
      </w:r>
    </w:p>
    <w:p>
      <w:r>
        <w:t>ZH Obergericht, 2021-07-27, DE</w:t>
      </w:r>
    </w:p>
    <w:p>
      <w:r>
        <w:rPr>
          <w:b/>
        </w:rPr>
        <w:t xml:space="preserve">Quelle: </w:t>
      </w:r>
      <w:r>
        <w:t>https://mcp.opencaselaw.ch/entscheid/zh_obergericht_NG210006</w:t>
      </w:r>
    </w:p>
    <w:p>
      <w:r>
        <w:t>FR: ZH_OBERGERICHT NG210006 du 27 juillet 2021</w:t>
      </w:r>
    </w:p>
    <w:p>
      <w:r>
        <w:t>IT: ZH_OBERGERICHT NG210006 del 27 luglio 2021</w:t>
      </w:r>
    </w:p>
    <w:p>
      <w:pPr>
        <w:pStyle w:val="Heading2"/>
      </w:pPr>
      <w:r>
        <w:t>Erwägungen</w:t>
      </w:r>
    </w:p>
    <w:p>
      <w:r>
        <w:rPr>
          <w:b/>
        </w:rPr>
        <w:t>E. 1</w:t>
      </w:r>
    </w:p>
    <w:p>
      <w:r>
        <w:t>Der Kläger und Berufungsbeklagte (fortan Kläger) ist Musiklehrer und mietete von den Beklagten und Berufungsklägern (fortan Beklagte) zwei Ateliers, die er als Tonstudio und Unterrichtsraum nutzte. Ab September 2015 wurden die Fenster in beiden Ateliers saniert. Gemäss klägerischen Vorbringen im vor- instanzlichen Verfahren sei aufgrund des Vorgehens der Beklagten bei der Sanie- rung die Abhaltung eines regulären Musikunterrichts nicht mehr bzw. nur unter stark erschwerten Umständen möglich gewesen. Zudem habe der Kläger zwei Tonstudioverträge wegen der Sanierungsarbeiten nicht fristgerecht erfüllen kön- nen (vgl. Zusammenfassung in act. 85 S. 3 f.). 2.1. Nach Erteilung der Klagebewilligung vom 20. September 2019 (vgl. act. 2/2/23) gelangte der Kläger mit Eingabe vom 24. Oktober 2019 an die Schlichtungsbehörde des Bezirks Meilen und verlangte eine Mietzinsreduktion nach Art. 259d OR sowie Schadenersatz gemäss Art. 259e OR (act. 2/1). Die Eingabe wurde zur Behandlung an die Vorinstanz überwiesen (vgl. act. 2/4-5 und 2/7). Mit Eingabe vom 3. Dezember 2019 reichte der Kläger auf Aufforderung hin eine rechtsgenügende Klage nach (act. 6 und 8). Mit Verfügung vom 11. Dezember 2019 wurde unter anderem den Beklagten Frist angesetzt, um eine</w:t>
      </w:r>
    </w:p>
    <w:p>
      <w:r>
        <w:t>- 4 - schriftliche Stellungnahme zur Klageschrift einzureichen (act. 11). Mit Eingabe vom 7. Februar 2020 kamen sie dieser Aufforderung nach, woraufhin die Parteien zur Hauptverhandlung auf den 20. Mai 2020 vorgeladen wurden (act. 19 und act. 26). 2.2. Nach durchgeführter Hauptverhandlung wurden mit Verfügung vom 14. Oktober 2020 die offerierten Beweise der Parteien abgenommen (act. 47). Danach wurden die Parteien zur Beweisverhandlung mit Beweisabnahmen und Schlussvorträgen auf den 10. Dezember 2020 vorgeladen, wobei die Beweisver- handlung am 6. Januar 2021 fortgesetzt wurde (act. 55 und 64). Mit Verfügung vom 6. Januar 2021 wurde den Parteien Frist angesetzt, um jeweils ihre Schluss- vorträge schriftlich einzureichen (act. 68). Dieser Aufforderung kamen beide Par- teien nach (act. 70 f.), woraufhin die Schlussvorträge der jeweiligen Gegenpartei jeweils mit Kurzbrief vom 19. Januar 2021 zur Kenntnis gebracht wurden (act. 72 f.). Am 8. März 2021 erliess die Vorinstanz das vorstehend zitierte Urteil (act. 77 = act. 85 = act. 87, fortan act. 85; zur restlichen vorinstanzlichen Pro- zessgeschichte s. act. 85 S. 4 ff.).</w:t>
      </w:r>
    </w:p>
    <w:p>
      <w:r>
        <w:rPr>
          <w:b/>
        </w:rPr>
        <w:t>E. 1.1</w:t>
      </w:r>
    </w:p>
    <w:p>
      <w:r>
        <w:t>Die Vorinstanz qualifizierte die Sanierungsarbeiten als Erneuerungsarbei- ten im Sinne von Art. 260 OR, was von den Beklagten nicht beanstandet wurde (act. 85 E. V.1.). Weiter hielt sie fest, dass die Beklagten die Sanierungsarbeiten in den Ateliers nicht rechtzeitig und umfassend angekündigt hätten, weshalb diese für den Kläger i.S.v. Art. 260 Abs. 1 OR nicht zumutbar gewesen seien. Dies habe zur Folge, dass der Kläger die Sanierungsarbeiten nicht hätte dulden müssen und ihm alle Mängelrechte gemäss Art. 259a OR uneingeschränkt zur Verfügung stünden (vgl. zusammenfassend act. 85 E. V.2.3.6.). Die Beklagten hätten auch nicht beweisen können, dass die Bautermine stets mit dem Kläger abgesprochen worden seien, mithin auf seine privaten und beruflichen Interessen Rücksicht ge- nommen worden sei; die Zeugen J._____, K._____ sowie L._____ hätten nicht überzeugend darlegen können, dass die Arbeiten jeweils dann verschoben wor- den seien, wenn die vorgeschlagenen Termine für den Kläger nicht passend ge- wesen seien (act. 85 S. 25 E. V.3.5.).</w:t>
      </w:r>
    </w:p>
    <w:p>
      <w:r>
        <w:rPr>
          <w:b/>
        </w:rPr>
        <w:t>E. 1.2</w:t>
      </w:r>
    </w:p>
    <w:p>
      <w:r>
        <w:t>In Bezug auf die Mietzinsherabsetzung erwog die Vorinstanz nach Würdi- gung der Zeugenaussagen, die Mietsachen hätten während der Sanierung an ei-</w:t>
      </w:r>
    </w:p>
    <w:p>
      <w:r>
        <w:t>- 7 - nem mittleren Mangel gelitten. Der Kläger habe sowohl den Beweis für den ein- geschränkten Unterricht erbracht als auch dafür, dass die Sanierungsarbeiten kausal für die eingeschränkte Nutzung der Mieträume gewesen seien (act. 85 S. 30 E. V.4.4.8.). Die Herabsetzung des Mietzinses sei ihm für den Zeitraum vom 23. November 2015 (Datum seiner Mängelrüge an die Beklagten) bis zum 11. Februar 2016 (letzter Sanierungstag) zu gewähren (vgl. act. 85 S. 31 E. V.4.5.2. f.). Bezüglich der Höhe des Herabsetzungsanspruchs hielt die Vor- instanz schliesslich fest, es handle sich bei den gemieteten Ateliers des Klägers um Gewerberäume. Dies bedeute eine besondere Einschränkung in wirtschaftli- cher Hinsicht, weshalb eine Reduktion von mehr als 20 %, mithin rund 30 % des jeweiligen Nettomietzinses gerechtfertigt sei. Unter Berücksichtigung der 2.5- monatigen Dauer des Mangels und der Mietzinse der Ateliers, sei ein Herabset- zungsanspruch von insgesamt CHF 843.– zuzusprechen (act. 85 S. 31 f. E. V.4.6).</w:t>
      </w:r>
    </w:p>
    <w:p>
      <w:r>
        <w:rPr>
          <w:b/>
        </w:rPr>
        <w:t>E. 1.3</w:t>
      </w:r>
    </w:p>
    <w:p>
      <w:r>
        <w:t>Hinsichtlich des Schadenersatzes erwog die Vorinstanz zusammenge- fasst, der Kläger mache geltend, am 30. April 2015 und 17. Mai 2015 Tonstu- dioverträge mit den Bands "M._____" und "N._____" abgeschlossen zu haben. Aufgrund der nicht rechtzeitig angekündigten und schleppenden Fenstersanierung sei es zu Terminverschiebungen gekommen, weshalb die Verträge gekündigt worden seien. Daraus habe der Kläger eine Umsatzeinbusse von CHF 19'600.– erlitten (act. 85 S. 9 E. III.1.2. und S. 33 E. V.5.4.1.). Gestützt auf die offerierten Verträge und zwei Quittungen kommt die Vorinstanz zum Schluss, sie habe keine Zweifel, dass es sich bei den Tonstudioverträgen um echte Verträge handle, die tatsächlich im Frühling 2015 mit den jeweiligen Auftraggebern "M._____" und "N._____" abgeschlossen worden seien. Es gebe keine Anhaltspunkte, dass der Kläger eine Rückabwicklung der Verträge und die Geldrückgabe vorgetäuscht haben könnte, nur weil eine heutige Internetrecherche keine Ergebnisse bei den beiden Bands liefere (act. 85 S. 34 E. V.5.4.3.). Hätten die Beklagten als Vermieter den Kläger rechtzeitig über die Fens- tersanierung informiert und ihm hierzu einen Terminplan ausgehändigt, wäre es ihm mit hoher Wahrscheinlichkeit möglich gewesen, die Tonstudioverträge einzu-</w:t>
      </w:r>
    </w:p>
    <w:p>
      <w:r>
        <w:t>- 8 - halten. Es sei festzuhalten, dass gemäss den im Frühling 2015 abgeschlossenen Tonstudioverträgen die Aufnahmen gerade in den Zeitraum der ursprünglich ge- planten (ab 1. September 2015), dann aber kurzfristig auf Mitte September 2015 verschobenen Sanierungsarbeiten gefallen seien (act. 85 S. 35 E. V.5.4.4.). Es sei zwar ersichtlich, dass an jenen Tagen, an denen die Aufnahmen für "N._____" (21. September 2015 bis 27. September 2015) und für "M._____" (1. September 2015 und 16. November 2015) geplant gewesen seien, effektiv keine Sanierungsarbeiten verrichtet worden seien. Jedoch könne aufgrund der Stundenliste des Sanierungsunternehmens nur zurückverfolgt werden, wann ef- fektiv gearbeitet worden sei, aber nicht, ob die Arbeiten auch dann geplant und dem Kläger vor Beginn der Sanierung rechtzeitig mitgeteilt worden seien. Gerade der Termin 1. September 2015 sei sehr kurzfristig verschoben worden, weshalb eigentlich an diesem Tag ursprünglich Sanierungen geplant gewesen seien (act. 85 S. 35 E. V.5.4.5). Ohne Wissen über die Art und Dauer der Immissionen durch die Sanierung habe der Kläger seine Tonstudioverträge, die das professio- nelle Aufnehmen von CDs beinhaltet hätten, nicht einhalten können. Entspre- chend seien die Künstler von den Verträgen zurückgetreten. Der Kläger dringe mit seinem Schadenersatzanspruch gemäss Art. 259e OR und dem diesbezüglichen Vorbringen durch, dass die abgeschlossenen Tonstudioverträge aufgrund der un- koordinierten und nicht mit genügend Rücksichtnahme vorgenommenen Fens- tersanierung durch die Hilfspersonen der Beklagten nicht erfüllt werden konnten, wodurch ihm ein Schaden von CHF 19'600.– entstanden sei. Der Exkulpations- beweis, wonach die Beklagten kein Verschulden treffe, sei ausgeblieben. Dem Kläger sei auch der Schadenersatz in der von ihm geltend gemachten Höhe von CHF 19'600.– zuzusprechen (act. 85 S. 36 E. V.5.5.). 2.1. Die Beklagten bringen berufungsweise zusammengefasst vor, bei willkür- freier Würdigung der verfügbaren Zeugenaussagen und der Befragung des Klä- gers sowie bei objektiver Würdigung des von ihnen vorgebrachten Erfahrungssat- zes sei davon auszugehen, dass der Kläger bereits seit Frühling 2015 gewusst habe, dass seine Fenster in den nächsten Monaten ersetzt würden, jeweils ein Atelier während ca. einer Woche nicht oder nur eingeschränkt nutzbar sein werde</w:t>
      </w:r>
    </w:p>
    <w:p>
      <w:r>
        <w:t>- 9 - und sämtliche Termine jeweils rollend mit ihm vereinbart und abgesprochen wür- den (zusammenfassend act. 86 Rz. 18). Der Beginn der Sanierungsarbeiten sei einvernehmlich und mindestens drei Wochen im Voraus auf den 14. September 2015 vereinbart worden. Unter Berücksichtigung der Beweismittel müsse man un- ter objektiver Betrachtung zwingend zum Schluss kommen, dass es der Kläger selbst gewesen sei, welcher den Termin vom 14. September 2015 bestimmt habe (act. 86 Rz. 21 und 23). Selbst wenn jedoch davon ausgegangen würde, dass der Termin nicht mit dem Kläger abgesprochen worden sei, erweise sich eine dreiwö- chige Voranzeigefrist für das Auswechseln von Fenstern als angemessen und zumutbar (act. 86 Rz. 24). Die Beklagten hätten bei der Planung und Ausführung der Fenstersanie- rung von Beginn weg auf die Interessen des Klägers Rücksicht genommen. Sämt- liche Termine seien mit dem Kläger abgesprochen worden. Seien Arbeiten resp. Termine verschoben worden, so sei dies einzig deshalb geschehen, weil sie dem Kläger nicht gepasst hätten. Zudem seien die Arbeiten so verlegt worden, dass am Ende eines Arbeitstages stets sämtliche Fenster eingebaut gewesen seien, das Mietobjekt nie über Nacht offen gestanden habe und der Kläger auch wäh- rend der Zeit dieser Fenstersanierungsarbeiten jeweils in einem Raum uneinge- schränkt hätte arbeiten können (act. 86 Rz. 27 und 33; vgl. auch act. 86 Rz. 36). 2.2. Die Vorinstanz habe die Aussagen der Zeugen lediglich selektiv gewür- digt und zudem aus dem Zusammenhang gerissen. Aus den Zeugenbefragungen gehe hervor, dass der Musikunterricht stets habe durchgeführt werden können. Die Zeugen hätten gerade nicht bestätigt, dass sie in ihrem Unterricht einge- schränkt gewesen seien oder dieser gar nicht mehr habe durchgeführt werden können (act. 86 Rz. 44 f.). Ohnehin könne aufgrund der Sachlage nicht ohne nä- here Begründung von einer Beeinträchtigung von mehr als 5 % ausgegangen werden, weshalb es bereits von Vornherein an einem mittleren, mietrechtlichen Mangel fehle (act. 86 Rz. 56). Der Kläger habe auch nicht näher substantiiert, an welchen Tagen er welche Stunden mit welchen Schülern habe ausfallen lassen müssen. Da der Kläger nichts anderes behauptet habe, geschweige denn habe beweisen können, müsse davon ausgegangen werden, dass er während der</w:t>
      </w:r>
    </w:p>
    <w:p>
      <w:r>
        <w:t>- 10 - Phase der Sanierungsarbeiten Einnahmen resp. Umsatz aus der Unterrichtstätig- keit im Mietobjekt ohne Einbusse erzielt habe. Gehe die Vorinstanz aber ohne nähere Begründung von "besonderen wirtschaftlichen Einschränkungen" aus und folgere sie alleine deshalb daraus, dass eine Beeinträchtigung von 30 % "gerecht- fertigt" erscheine, so fehle dafür jegliche objektiv nachvollziehbare Grundlage (act. 86 Rz. 59). Ferner seien die Bauarbeiten am 23. Oktober 2015 und nicht Mit- te Februar 2016 beendet worden. Wenn überhaupt eine Mietzinsreduktion für die Fensterersatzarbeiten zuzusprechen wäre, dann wäre diese dem Kläger höchs- tens bis Ende Oktober 2015 zuzusprechen. Da er sich jedoch erst am 23. November 2015 – und damit nach Abschluss der Arbeiten – an die Beklagten gewandt und die "Mängel" im Zusammenhang mit den abgeschlossenen Arbeiten gerügt habe, fehle es auch an einer rechtzeitigen Mängelrüge im Sinne von Art. 259d OR (act. 86 Rz. 46, 49 f. und 53). 2.3. Im Zusammenhang mit dem geltend gemachten Schadenersatz führen die Beklagten aus, dem Kläger sei schlicht nicht gelungen, Bestand und Gültigkeit der erwähnten Verträge sowie die behaupteten Geldflüsse (Zahlungen an den Kläger und an "M._____"/"N._____" zurück) zu beweisen. So sei bis heute nicht geklärt, mit welchen (natürlichen oder juristischen) Personen der Kläger einen "Tonstudiovertrag" abgeschlossen haben wolle (act. 86 Rz. 61 und Rz. 63). Zu- dem habe der Kläger nicht beweisen können, dass die "Tonstudioverträge" auf- grund der Terminverschiebungen der Handwerker bei den Sanierungsarbeiten nicht fristgerecht hätten erfüllt werden können und "M._____" und "N._____" des- halb von den Verträgen hätten zurücktreten müssen, weshalb der Kläger auch die bereits geleisteten Anzahlungen habe zurückzahlen müssen. Es fehle sowohl an einem natürlichen als auch an einem adäquaten Kausalzusammenhang zwischen dem Seitens der Beklagten bestrittenen Schaden und dem Fensterersatz (act. 86 Rz. 70 f.). 3. Die Vorinstanz kommt zum Schluss, dass der Kläger die Arbeiten nicht hätte dulden müssen und ihm alle Mängelrechte i.S.v. Art. 259a OR uneinge- schränkt zur Verfügung stünden (vgl. act. 85 S. 22 E. V.2.3.6.2.). Die Frage der Duldungspflicht ist in der vorliegenden Konstellation jedoch irrelevant, nachdem</w:t>
      </w:r>
    </w:p>
    <w:p>
      <w:r>
        <w:t>- 11 - der Kläger lediglich eine Mietzinsherabsetzung gemäss Art. 259d OR und Scha- denersatz nach Art. 259e OR verlangt. Diese Ansprüche stehen ihm selbst bei zumutbarer Arbeit und Rücksicht nehmender Ausführung zur Verfügung (vgl. da- zu Art. 260 Abs. 2 OR sowie BSK OR I-WEBER, 7. Auflage 2020, Art. 260 N 7 f.). Andere Mängelrechte – wie bspw. der Beseitigungsanspruch gemäss Art. 259b f. OR oder das Hinterlegungsrecht gemäss Art. 259g OR – machte der Kläger nicht geltend. Ob die Sanierungsarbeiten im Sinne von Art. 260 OR für den Kläger zu- mutbar waren und bei deren Ausführungen auf seine Interessen Rücksicht ge- nommen wurde, spielt für die Anspruchsbegründung selbst keine Rolle. Insbe- sondere sind die von den Beklagten ausführlich besprochenen Fragen der recht- zeitigen Ankündigung der Arbeiten und der Rücksichtnahme auf die Interessen des Klägers (act. 86 Rz. 14 ff., Rz. 26 ff.) für sich alleine nicht relevant. Auch wenn die Beklagten die Arbeiten rechtzeitig ankündigen liessen und auf die Inte- ressen des Klägers Rücksicht nahmen, ändert das per se nichts an den Ansprü- chen auf Mietzinsherabsetzung und Schadenersatz. Auf die Ausführungen in die- ser Hinsicht ist folglich nur insoweit einzugehen, als sie für die Beurteilung der Mietzinsherabsetzung und des Schadenersatzanspruches relevant sind. 4. Herabsetzung des Mietzinses 4.1. Wird die Tauglichkeit einer gemieteten Sache zum vorausgesetzten Ge- brauch beeinträchtigt oder vermindert, so kann der Mieter vom Vermieter verlan- gen, dass er den Mietzins vom Zeitpunkt, in dem er vom Mangel erfahren hat, bis zur Behebung des Mangels entsprechend herabsetzt (Art. 259d OR). Die vor- instanzlichen Ausführungen in dieser Hinsicht sind korrekt, weswegen darauf verwiesen werden kann (act. 85 S. 25 E. V.4.1.). Anzufügen ist, dass gemäss bundesgerichtlicher Rechtsprechung zumindest ein Mangel mittlerer Schwere vor- liegen muss. Ein solcher Mangel kann sich daraus ergeben, dass entweder der Gebrauch der gemieteten Sache im Umfang von mindestens 5 % eingeschränkt ist oder ein leichter (z.B. ein ästhetischer) Mangel über einen langen Zeitraum be- steht, ohne dass der darüber informierte Vermieter die notwendigen Massnahmen zu dessen Behebung ergreift (BGer 4C.97/2003 vom 28. Oktober 2003 E. 3.3; BGE 135 III 345 E. 3.2).</w:t>
      </w:r>
    </w:p>
    <w:p>
      <w:r>
        <w:t>- 12 - 4.2. Die Beklagten machen geltend, der Kläger habe während der laufenden Fensterersatzarbeiten jeden Tag mindestens einen Raum uneingeschränkt nut- zen können (act. 86 Rz. 36 f.; vgl. auch act. 86 Rz. 56). Die Vorinstanz handelte den Einwand ab, verwarf ihn jedoch (act. 85 S. 24 E. V.3.4.1.). In ihrer Berufung unterlassen es die Beklagten, sich mit den vorinstanzlichen Erwägungen ausei- nanderzusetzen. Vielmehr wiederholen sie die bereits in ihrer schriftlichen Stel- lungnahme zur Klageschrift vorgebrachten Argumente (vgl. act. 19 Rz. 20). Ent- sprechend ist nicht weiter auf diese Vorbringen einzugehen. 4.3.1. Weiter werfen die Beklagten der Vorinstanz vor, die Aussagen diverser Zeugen selektiv gewürdigt und zudem aus dem Zusammenhang gerissen zu ha- ben. Im Anschluss daran setzen sie sich jedoch lediglich mit den Aussagen der Zeuginnen O._____ und P._____ auseinander. Sie bringen vor, bei der Zeugin O._____ habe die Vorinstanz zur Begründung der angeblichen Beeinträchtigung ausschliesslich auf ein Tropfereignis im Studio abgestellt, das – wenn überhaupt – deutlich nach den Fensterersatzarbeiten stattgefunden haben soll, was auch die Zeugin P._____ bestätigt habe (vgl. act. 86 Rz. 45). Dieser Rüge kann jedoch nicht gefolgt werden, zumal sich in der vorinstanzlichen Würdigung resp. Schluss- folgerung nichts über ein Tropfereignis finden lässt. Die Vorinstanz zog – wie dar- gelegt – aufgrund der verschiedenen Zeugenaussagen vielmehr den Schluss, der Unterricht sei während der Sanierung eingeschränkt gewesen, weil Gerätschaften nicht hätten genutzt werden können, weswegen auch keine richtige musikalische Begleitung möglich gewesen sei, weil spontane Verschiebungen in den anderen Raum stattgefunden hätten und weil CD-Aufnahmen hätten abgesagt werden müssen (act. 85 S. 30 E. V.4.4.8.). Inwiefern diese Schlussfolgerung nicht richtig sein soll, zeigen die Beklagten nicht auf. Vielmehr fassten sie lediglich Zeugen- aussagen zusammen, ohne sich jedoch mit den entsprechenden Erwägungen der Vorinstanz auseinanderzusetzen, die zur Sachverhaltsfeststellung geführt haben (vgl. act. 86 Rz. 38 – 43 und act. 85 S. 28 ff. E. V.4.4.3. ff.). Die Beklagten ver- deutlichen nicht, inwiefern die Vorinstanz die Zeugenaussagen selektiv und aus dem Zusammenhang gerissen würdigte. Die Rüge ist damit unbegründet.</w:t>
      </w:r>
    </w:p>
    <w:p>
      <w:r>
        <w:t>- 13 - 4.3.2. Dass die Vorinstanz gestützt auf diese Sachverhaltsfeststellung daraufhin einen mittleren Mangel an den Ateliers annahm, ist nicht zu beanstanden. Aus den Zeugenaussagen geht ohne Weiteres hervor, dass der Unterricht während der Sanierung eingeschränkt war. Wie die Vorinstanz korrekt festhielt, konnten Gerätschaften nicht wie vorgesehen benutzt werden (bspw. Zeugenaussage Q._____, act. 85 S. 29 E. V.4.4.4.), mussten spontan Räumlichkeiten zu Lasten des Unterrichts gewechselt (Zeugenaussage R._____, act. 85 S. 29 f. E. V.4.4.6.) oder CD-Aufnahmen abgesagt werden (Zeugenaussagen Q._____ und O._____, act. 85 S. 29 f. E. V.4.4.4. und 4.4.7.). Gerade das Mischpult stellt ein zentrales Element eines Tonstudios dar. Mit anderen Worten ist ein Studio als solches nur noch äusserst eingeschränkt nutzbar, wenn das Mischpult nicht benutzt werden kann. Im vorliegenden Fall kann aufgrund der Zeugenaussagen als erstellt gelten, dass dieses aufgrund der Sanierungsarbeiten abgedeckt werden musste und da- mit nicht gebraucht werden konnte (vgl. auch act. 86 Rz. 41). Entsprechend ist ohne Weiteres davon auszugehen, dass ein Mangel vorliegt, welcher den Ge- brauch der Ateliers als Unterrichtsraum und Tonstudio im Umfang von mindestens</w:t>
      </w:r>
    </w:p>
    <w:p>
      <w:r>
        <w:rPr>
          <w:b/>
        </w:rPr>
        <w:t>E. 3</w:t>
      </w:r>
    </w:p>
    <w:p>
      <w:r>
        <w:t>Mit Eingabe vom 29. April 2021 (Datum Poststempel) erhoben die Beklag- ten rechtzeitig Berufung gegen das vorinstanzliche Urteil (act. 86; zur Rechtzeitig- keit unter Berücksichtigung der Gerichtsferien act. 78/2). Mit Verfügung vom</w:t>
      </w:r>
    </w:p>
    <w:p>
      <w:r>
        <w:rPr>
          <w:b/>
        </w:rPr>
        <w:t>E. 5</w:t>
      </w:r>
    </w:p>
    <w:p>
      <w:r>
        <w:t>Schadenersatz</w:t>
      </w:r>
    </w:p>
    <w:p>
      <w:r>
        <w:rPr>
          <w:b/>
        </w:rPr>
        <w:t>E. 5.1</w:t>
      </w:r>
    </w:p>
    <w:p>
      <w:r>
        <w:t>Hat der Mieter durch den Mangel Schaden erlitten, so muss ihm der Ver- mieter dafür Ersatz leisten, wenn er nicht beweist, dass ihn kein Verschulden trifft (Art. 259e OR). Hinsichtlich der rechtlichen Voraussetzungen kann zur Vermei- dung von Wiederholungen vollumfänglich auf die korrekten Erwägungen der Vor- instanz verwiesen werden (act. 85 S. 32 f. E. V.5.1. ff.). In Bezug auf den Kausal- zusammenhang ist anzufügen, dass sich dieser bei vertragswidriger Unterlassung danach bestimmt, ob der Schaden auch bei Vornahme der unterlassenen Hand- lung eingetreten wäre. Es geht um einen hypothetischen Kausalverlauf, für den nach den Erfahrungen des Lebens und dem gewöhnlichen Lauf der Dinge eine überwiegende Wahrscheinlichkeit sprechen muss (BGer 4A_49/2016 vom 9. Juni 2016 E. 4.1.).</w:t>
      </w:r>
    </w:p>
    <w:p>
      <w:r>
        <w:t>- 17 - 5.2.1. Für die klägerische Behauptung, dass mit den Künstlern Tonstudioverträ- ge abgeschlossen worden seien, würdigte die Vorinstanz die eingereichten Ver- träge und Quittungen (act. 85 S. 33 f. E. V.5.4.3. und act. 2/2/17-19). Die Beklag- ten werfen der Vorinstanz ein willkürliche Beweiswürdigung vor, wenn diese schlussfolgere, die Verträge hätten keine Auffälligkeiten, weshalb die Vorinstanz keine Zweifel habe, dass es sich bei diesen um echte und gültige Verträge hand- le. Nach Ansicht der Beklagten lasse sich dieser Schluss aufgrund der begründe- ten Einwendungen der Beklagten – fehlende Angabe der Vertragsparteien und der Namen, die dahinter stünden – bei objektivem Massstab nicht ziehen (act. 86 Rz. 63). 5.2.2. Die Beklagten bestritten in ihrer Stellungnahme zur Klage vom 7. Februar 2020, dass die Band "M._____" und die Künstlerin "N._____" existieren würden. Als Begründung führten sie lediglich an, dass bei einer Internetrecherche zu die- sen Künstlern keine Ergebnisse resultiert seien. Aufgrund dessen bestritten sie auch, dass die eingereichten Verträge überhaupt rechtsgültig abgeschlossen worden seien (act. 19 Rz. 26 – 29; VI Prot. S. 50 f.). Entgegen der Ansicht der Beklagten haben sie im vorinstanzlichen Verfahren den Abschluss eines rechts- gültigen Vertrages somit nicht deshalb angezweifelt, weil in dieser Hinsicht aus den offerierten Verträgen nichts hervorgehe (vgl. act. 86 Rz. 61 1. Satz). Sie stützten ihren Standpunkt lediglich auf ihre Internetrecherche, was die Vorinstanz in ihrem Entscheid gewürdigt hat und im Berufungsverfahren unbeanstandet blieb (act. 85 S. 34 E. V.5.4.3.). Die Beklagten bringen vor, dass die Angaben der Vertragspartei und der Namen, die hinter den Bezeichnungen stünden, fehlen und dass die Rechtsfähig- keit der Vertragspartner des Klägers unklar sei (vgl. act. 86 Rz. 61 i.f.). Nachdem die Rechtsfähigkeit im vorinstanzlichen Verfahren keinen Streitgegenstand bilde- te, musste die Vorinstanz darüber auch keine Beweise abnehmen. Einzig aus der im vorinstanzlichen Verfahren behaupteten mangelnden Internetpräsenz der Künstler kann überdies nicht auf fehlende Rechtsfähigkeit geschlossen werden. Die Frage, ob und gegenüber welchen natürlichen oder juristischen Personen die vorgelegten Verträge (act. 2/2/217-18) taugliche Beweis- bzw. Vollstreckungsmit-</w:t>
      </w:r>
    </w:p>
    <w:p>
      <w:r>
        <w:t>- 18 - tel für einen Anspruch des Klägers wären, ist nicht entscheidend für die Beurtei- lung, ob der Kläger gegenüber den Beklagten einen Schaden zu beweisen ver- mag. Die Rechtsfähigkeit der Vertragspartner "M._____" und "N._____" sowie die Frage, welche natürlichen oder juristischen Personen hinter den Pseudonymen stehen, ist daher nicht von entscheidrelevanter Bedeutung. 5.2.3. In diesem Zusammenhang machen die Beklagten auch Ausführungen be- treffend die Tauglichkeit und Würdigung der fraglichen Verträge, und sie machen geltend, die Formulierung des Beweissatzes 4.1 (act. 47 S. 10) zeige, dass die vorgelegten Verträge zum Beweis nicht genügten (act. 86 Rz. 62 Mitte). Allerdings kann aus dem Umstand, dass ein Gericht einen Beweissatz im Hinblick auf die Beweisführung formuliert, nicht abgeleitet werden, dass gewisse – in der Beweis- verfügung ebenfalls bezeichnete – Beweismittel als Beweis einer strittigen Be- hauptung nicht ausreichend sind. Ob dies der Fall ist, hat die urteilende Instanz anlässlich der Beweiswürdigung zu prüfen, die nach der Beweisabnahme stattfin- det. Entgegen der Ansicht der Beklagten kann eine förmliche Beweisführung – und damit eine Beweisverfügung samt Formulierung von Beweissätzen sowie die Beweisabnahme – auch nur in begrenzten Fällen unterbleiben, bspw. falls nur Ur- kunden als Beweismittel zu würdigen sind. Dies ist vorliegend nicht der Fall, zu- mal auch die Parteibefragung des Klägers als Beweismittel zugelassen wurde und eventuell die Künstler als Zeugen hätten befragt werden sollen (vgl. act. 47 S. 10). Es wurden somit zum Beweissatz 4.1 entgegen den Beklagten (act. 86 Rz. 62) Beweise abgenommen, insb. die erwähnten Urkunden. Die Vorinstanz würdigte diese eingehend (act. 85 S. 33 f. E. 5.4.3); die Beklagten setzen sich mit diesen Erwägungen – abgesehen von den vorstehend diskutierten und verworfenen Be- anstandungen – nicht auseinander. Schliesslich ist unklar geblieben, inwiefern die Vorinstanz ein reduziertes Beweismass angewandt haben soll (vgl. act. 86 Rz. 63 Mitte); dass sie eine "überwiegende Wahrscheinlichkeit" für die Feststellung des Zustandekommen des Vertrags genügen liess, lässt sich aus dem Urteil nicht entnehmen. Zusammenfassend ist die Schlussfolgerung der Vorinstanz im Hinblick auf das Zustandekommen der beiden Tonstudioverträge nicht zu beanstanden.</w:t>
      </w:r>
    </w:p>
    <w:p>
      <w:r>
        <w:t>- 19 - 5.3.1. Berufungsweise machen die Beklagten weiter geltend, der Kläger habe den ihm auferlegten Hauptbeweis dafür nicht erbringen können, dass die Tonstu- dioverträge aufgrund der Sanierungsarbeiten aufgelöst worden seien (vgl. act. 86 Rz. 70). Dafür sei der entsprechende Gegenbeweis der Beklagten erfolgreich ge- wesen, dass an keinem der geplanten Studioaufnahmetage Arbeiten im Mietob- jekt des Klägers durchgeführt worden seien. Stelle sich die Vorinstanz somit auf den Standpunkt, die Einhaltung der Verträge wäre "mit hoher Wahrscheinlichkeit" möglich gewesen, hätten die Beklagten den Kläger rechtzeitig – konkret bereits im April oder Mai 2015, mithin fünf Monate im Voraus – über die Arbeiten informiert und ihm ein Terminprogramm ausgehändigt, verletze sie das Willkürverbot. Zu- dem verletze sie Art. 8 ZGB und Art. 157 ZPO, wonach die beweisbelastete Partei den strikten Beweis für ihre Forderung sowie die entsprechenden Anspruchsvo- raussetzungen zu erbringen habe. 5.3.2. Ungerügt blieb die vorinstanzliche Feststellung, dass die Beklagten dem Kläger für die Sanierungsarbeiten keinen Terminplan ausgehändigt haben (act. 85 S. 35 E. V.5.4.4.). Im Zusammenhang mit der Stundenliste des Sanierungsunter- nehmens setzen sich die Beklagten in ihrer Berufung mit der vorinstanzlichen Schlussfolgerung, es sei nicht massgebend, ob rückblickend an den Tagen effek- tiv im Tonstudio saniert worden sei (vgl. act. 85 S. 36 E. V.5.5.), nicht auseinan- der. Sie wiederholen vielmehr unter Hinweis auf die Stundenliste ihren vorinstanz- lichen Standpunkt, dass an den geplanten Aufnahmetagen keine Arbeiten in den Mietobjekten durchgeführt worden seien (vgl. act. 86 Rz. 67 mit Verweis auf act. 44/1). Damit hat es bei der vorinstanzlichen Schlussfolgerung sein Bewen- den, und auf die Vorbringen im Zusammenhang mit der Stundenliste ist nicht wei- ter einzugehen. Ohnehin ist festzuhalten, dass – entgegen der Behauptung der Beklagten – die Aufnahmen betreffend die Band "M._____" nicht nur an zwei Ta- gen (am 1. September 2015 und 16. November 2015) hätten stattfinden sollen (vgl. bereits aktenwidrige Zusammenfassung des vorinstanzlichen Standpunktes, act. 86 Rz. 64, Rz. 67 f.). Wie die Vorinstanz korrekt festhielt, ergibt sich aus dem entsprechenden Vertrag, dass für die Aufnahmen ein Zeitraum von vier Wochen vereinbart wurde (act. 85 S. 35 E. V.5.4.5. mit Verweis auf act. 2/17).</w:t>
      </w:r>
    </w:p>
    <w:p>
      <w:r>
        <w:t>- 20 - 5.3.3. Die Beklagten stellen sich ferner auf den Standpunkt, dass dem Kläger die Termine für die Arbeiten rechtzeitig kommuniziert worden seien (act. 86 Rz. 67 mit Verweis auf ihre Ausführungen in Rz 14 – 20, die jedoch lediglich die allgemeine Ankündigung von Fensterarbeiten behandeln). Unbestritten ist jedoch, dass sich der Zeuge J._____ erst Ende August 2015 mit dem Kläger in Verbin- dung setzte, um den genauen Beginn der Sanierungsarbeiten abzusprechen (vgl. act. 86 Rz. 21; der Kläger wurde erst ab diesem Zeitpunkt konkret über den Bau- beginn informiert, weshalb die Vorbringen in Rz. 14 – 20 an der Sache vorbei ge- hen). In dieser Hinsicht blieb die vorinstanzliche Feststellung ungerügt, dass der Beginn zuerst auf den 1. September 2015 angesetzt worden sei (act. 85 S. 19 E. V.2.3.5.2.). Unklar ist, weshalb die Arbeiten dennoch – unbestrittenermassen – erst Mitte September 2015 begannen. Die Vorinstanz hielt dazu fest, dass der Zeuge J._____ anlässlich seiner Befragung äusserte, es sei möglich, dass es zu Verzögerungen hinsichtlich des Sanierungsbeginns gekommen sei und er dem Kläger mitgeteilt habe, dass er zwei Wochen später komme. Dies sei aus seiner Sicht nichts Besonderes (act. 85 S. 19 E. V.2.3.5.2. mit Verweis auf VI Prot. S. 92 f.). Mit dieser Feststellung setzen sich die Beklagten nicht auseinander, sondern wiederholen (abermals) ihre vorinstanzlichen Vorbringen und führen aus, der Zeuge J._____ habe bestätigt, dass die Arbeiten wegen der Tonaufnahme später begonnen hätten (act. 86 Rz. 68). Diese Aussage vermag jedoch ohnehin nicht zu überzeugen, da sie zu pauschal gehalten ist und im Widerspruch zu sei- ner soeben erwähnten ersten Aussage betreffend den Sanierungsbeginn steht. Auch aus der Parteibefragung des Klägers können die Beklagten nichts zu ihren Gunsten ableiten (vgl. Vorbringen in act. 86 Rz. 69). Hätten die Arbeiten am 1. September 2015 begonnen und wie angekündigt nur 14 Tage gedauert (vgl. dazu act. 19 Rz. 17), wäre es möglich gewesen, dass der Kläger beide Verträge ab Mitte September hätte einhalten können (geplante vier Wochen Aufnahme- dauer für die Band "M._____" bis zum 16. November 2015 und eine Woche Auf- nahmedauer für die Künstlerin "N._____" ab dem 21. September 2015). Insofern sind seine Aussagen entgegen den Beklagten nicht widersprüchlich. 5.3.4. In Bezug auf den Kausalzusammenhang setzen sich die Beklagten im Übrigen nicht mit dem vorinstanzlichen Entscheid auseinander und zeigen nicht</w:t>
      </w:r>
    </w:p>
    <w:p>
      <w:r>
        <w:t>- 21 - auf, inwiefern die Würdigung der Beweismittel falsch gewesen sein oder der Ent- scheid an einem sonstigen Mangel leiden soll. Dass die Vorinstanz für den Kau- salzusammenhang das reduzierte Beweismass der überwiegenden Wahrschein- lichkeit – in der Praxis auch teilweise als hohe Wahrscheinlichkeit bezeichnet (vgl. bspw. BGE 128 III 271 E. 2b/bb) – anwandte, ist nicht zu beanstanden (vgl. vorstehende E. III.5.1.).</w:t>
      </w:r>
    </w:p>
    <w:p>
      <w:r>
        <w:rPr>
          <w:b/>
        </w:rPr>
        <w:t>E. 5.4</w:t>
      </w:r>
    </w:p>
    <w:p>
      <w:r>
        <w:t>Schliesslich merken die Beklagten an, dass weder aus den Tonstudiover- trägen noch aus dem eingereichten Dokument "Zahlungen mit Quittun- gen/Rückzahlungen" hervorgehe, dass die Künstler effektiv eine Anzahlung ge- leistet hätten und diese auch wieder hätten zurückbezahlt werden müssen resp. zurückbezahlt worden seien. Wenn die Vorinstanz vom Gegenteil ausgehe, ma- che sie diese Feststellung ohne entsprechende Beweisabklärungen (act. 86 Rz. 72 mit Verweis auf S. 34 unten des Urteils). Die Beklagten verkennen dabei, dass sich die Vorinstanz an anderer Stelle mit den Verträgen und Quittungen als Beweismittel für die behaupteten Geldflüsse und für den Schaden des Klägers ausführlich auseinandergesetzt hat, insbesondere unter Hinweis auf die Unter- schriften auf den Quittungen, welche mit den Unterschriften auf den Verträgen übereinstimmen (act. 85 S. 33 f. E. V.5.4.3.). Entsprechend ist die Rüge unzutref- fend. Ohnehin setzen sich die Beklagten nicht mit den erwähnten Unterlagen auseinander und zeigen nicht auf, weshalb sie ungeeignet sein sollen, die Geld- flüsse zu beweisen. Damit ist auf die Rügen zur Umsatzeinbusse bzw. zum Scha- den nicht weiter einzugehen, was auch für die völlig unsubstantiierte Behauptung der Beklagten gilt, an der Auflösung der Tonstudioverträge würde sie kein Ver- schulden treffen (act. 86 Rz. 71 i.f.). Die Beklagten vermögen sich mit dem Hin- weis, der Kläger könnte auch aus persönlichen Gründen Tonaufnahmen mehrfach verschoben haben, nicht zu exkulpieren. Damit ist der Entscheid der Vorinstanz nicht zu beanstanden, einen Schadensersatzanspruch zu bejahen.</w:t>
      </w:r>
    </w:p>
    <w:p>
      <w:r>
        <w:rPr>
          <w:b/>
        </w:rPr>
        <w:t>E. 6</w:t>
      </w:r>
    </w:p>
    <w:p>
      <w:r>
        <w:t>Zusammenfassend erweist sich die Berufung der Beklagten als unbe- gründet, weshalb sie abzuweisen ist.</w:t>
      </w:r>
    </w:p>
    <w:p>
      <w:r>
        <w:t>- 22 - IV. 1. Die zweitinstanzliche Entscheidgebühr ist nach Massgabe des Streitwerts bzw. des tatsächlichen Streitinteresses, des Zeitaufwands des Gerichts und der Schwierigkeit des Falls festzusetzen (§ 2 Abs. 1 GebV OG). Der Streitwert für die Bemessung der Entscheidgebühr ist vorliegend auf CHF 20'443.– festzusetzen, da dieser Betrag dem Kläger im angefochtenen Urteil gesamthaft zugesprochen wurde (act. 85 S. 41). In Anwendung von § 4 Abs. 1 sowie § 12 Abs. 1 und 2 GebV OG ist die Gebühr auf CHF 3'200.– festzusetzen. 2. Die Beklagten unterliegen vollumfänglich, weshalb ihnen die Kosten des vorliegenden Verfahrens unter solidarischer Haftung für den Gesamtbetrag auf- zuerlegen sind. Parteientschädigungen sind nicht zuzusprechen; den Beklagten nicht, da sie unterliegen, dem Kläger nicht, weil er sich im Rechtsmittelverfahren nicht äussern musste und ihm daher keine Umtriebe entstanden sind.</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