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NG200019 vom 23. Februar 2021</w:t>
      </w:r>
    </w:p>
    <w:p>
      <w:r>
        <w:t>ZH Obergericht, 2021-02-23, DE</w:t>
      </w:r>
    </w:p>
    <w:p>
      <w:r>
        <w:rPr>
          <w:b/>
        </w:rPr>
        <w:t xml:space="preserve">Quelle: </w:t>
      </w:r>
      <w:r>
        <w:t>https://mcp.opencaselaw.ch/entscheid/zh_obergericht_NG200019</w:t>
      </w:r>
    </w:p>
    <w:p>
      <w:r>
        <w:t>FR: ZH_OBERGERICHT NG200019 du 23 février 2021</w:t>
      </w:r>
    </w:p>
    <w:p>
      <w:r>
        <w:t>IT: ZH_OBERGERICHT NG200019 del 23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Sachverhalt / Prozessgeschichte</w:t>
      </w:r>
    </w:p>
    <w:p>
      <w:r>
        <w:rPr>
          <w:b/>
        </w:rPr>
        <w:t>E. 1.1</w:t>
      </w:r>
    </w:p>
    <w:p>
      <w:r>
        <w:t>Der Beklagte und Berufungskläger (nachfolgend: Berufungskläger) und die Klägerin und Berufungsbeklagte (nachfolgend: Berufungsbeklagte) schlossen ei- nen Mietvertrag mit Mietbeginn am 1. Dezember 2017 über ein Zimmer mit Küche und Bad zur Mitbenützung in einer 4-Zimmerwohnung an der C._____-strasse … in Zürich in einem Haus aus dem Jahr 1896 zu einem monatlichen Mietzins von Fr. 900.– (vgl. act. 3/3; Prot. Vi. S. 24). Die Küche und das Bad teilte sich die Be- rufungsbeklagte mit drei weiteren Mietparteien, die jeweils entsprechende eigene Mietverträge mit dem Berufungskläger abgeschlossen haben (vgl. act. 49 E. I./1 mit Verweis auf act. 44/47 S. 2 ff.). Das Mietverhältnis zwischen dem Berufungskläger und der Berufungsbe- klagten wurde per Ende Februar 2020 beendet (vgl. act. 49 E. I./1 m.w.H.).</w:t>
      </w:r>
    </w:p>
    <w:p>
      <w:r>
        <w:rPr>
          <w:b/>
        </w:rPr>
        <w:t>E. 1.2</w:t>
      </w:r>
    </w:p>
    <w:p>
      <w:r>
        <w:t>Die Berufungsbeklagte erhob nach erfolglos durchgeführtem Schlichtungs- verfahren mit Eingabe vom 29. November 2019 eine Klage betreffend Anfechtung des Anfangsmietzinses, Mietzinshinterlegung und Mängel vor dem Mietgericht Zü- rich (nachfolgend: Vorinstanz) (vgl. act. 49 E. I./2 zur vollständigen vorinstanzli- chen Prozessgeschichte).</w:t>
      </w:r>
    </w:p>
    <w:p>
      <w:r>
        <w:rPr>
          <w:b/>
        </w:rPr>
        <w:t>E. 1.3</w:t>
      </w:r>
    </w:p>
    <w:p>
      <w:r>
        <w:t>Mit Beschluss und Urteil vom 18. November 2020 (act. 45 = act. 49 [Akten- exemplar] = act 51) entschied die Vorinstanz was folgt: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