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NG190023 vom 20. November 2019</w:t>
      </w:r>
    </w:p>
    <w:p>
      <w:r>
        <w:t>ZH Obergericht, 2019-11-20, DE</w:t>
      </w:r>
    </w:p>
    <w:p>
      <w:r>
        <w:rPr>
          <w:b/>
        </w:rPr>
        <w:t xml:space="preserve">Quelle: </w:t>
      </w:r>
      <w:r>
        <w:t>https://mcp.opencaselaw.ch/entscheid/zh_obergericht_NG190023</w:t>
      </w:r>
    </w:p>
    <w:p>
      <w:r>
        <w:t>FR: ZH_OBERGERICHT NG190023 du 20 novembre 2019</w:t>
      </w:r>
    </w:p>
    <w:p>
      <w:r>
        <w:t>IT: ZH_OBERGERICHT NG190023 del 20 novembre 2019</w:t>
      </w:r>
    </w:p>
    <w:p>
      <w:pPr>
        <w:pStyle w:val="Heading2"/>
      </w:pPr>
      <w:r>
        <w:t>Erwägungen</w:t>
      </w:r>
    </w:p>
    <w:p>
      <w:r>
        <w:rPr>
          <w:b/>
        </w:rPr>
        <w:t>E. 1</w:t>
      </w:r>
    </w:p>
    <w:p>
      <w:r>
        <w:t>Das Bundesgericht bejahte in seinem Urteil vom 8. Oktober 2019 den kläge- rischen Anspruch auf Rückerstattung der unter der Position "Diverse Betriebskos- ten" getätigten Nebenkostennachzahlungen, soweit in diesen keine Saldoaner- kennung zu sehen ist. Für die Kläger 1 und 2 betrifft dies die Nebenkostenab- rechnungen 2010/2011 bis 2013/2014; für die Kläger 3 und 4 sowie 5 und 6 be- trifft dies die Nebenkostenabrechnungen 2009/2010 bis 2013/2014. Entsprechend wies das Bundesgericht die Sache diesbezüglich an das Obergericht zurück, im Übrigen wies es die Beschwerde ab (vgl. act. 72 E. 10). Mit der Aufhebung des</w:t>
      </w:r>
    </w:p>
    <w:p>
      <w:r>
        <w:t>- 7 - obergerichtlichen Entscheids vom 15. März 2019 und der Rückweisung durch das Bundesgericht wurde das Verfahren in den Stand versetzt wie es vor der Urteils- fällung war. Zur Behandlung der Rückweisung wurde ein neues Geschäft ange- legt (Prozess-Nr. NG190023).</w:t>
      </w:r>
    </w:p>
    <w:p>
      <w:r>
        <w:rPr>
          <w:b/>
        </w:rPr>
        <w:t>E. 2</w:t>
      </w:r>
    </w:p>
    <w:p>
      <w:r>
        <w:t>Das Bundesgericht erklärte, das Einsichtsrecht könne eine ungenügende Nebenkosten-Abrechnung nicht ersetzen. Würden unter einer Position ohne Prä- zisierung verschiedene im Mietvertrag grundsätzlich vorbehaltene Nebenkosten zusammengefasst, könnten die Mieter gar nicht wissen, welche Rechnungen sie überhaupt überprüfen müssten. Entsprechend könne ihnen entgegen den Ausfüh- rungen des Obergerichts auch nichts angelastet werden, weil sie nichts zum Un- genügen dieser Belege angeführt hätten. Im Schreiben des Rechtsvertreters der Beklagten vom 27. April 2016 würden zwar die enthaltenen Positionen aufgezählt, aber ohne dass die je darauf entfallenden Kostenbeträge angegeben würden. Letzteres wäre aber erforderlich, damit die Aufzählung der Abrechnungspflicht genüge. Denn nur so könnten die Mieter in der Folge diese Kostenpositionen an- hand der Belege kontrollieren. Habe die Beklagte somit die unter "Diverse Betriebskosten" in Rechnung gestell- ten Beträge, für welche keine Saldoanerkennung vorliege, nicht rechtsgenüglich dargelegt, sei der diesbezügliche Anspruch auf Rückerstattung der Kläger grund- sätzlich gutzuheissen. Da die entsprechenden Beträge vom Obergericht nicht festgestellt worden seien, könne das Bundesgericht nicht reformatorisch ent- scheiden. Vielmehr sei die Sache zur Prüfung und Beurteilung des Quantitativen an das Obergericht zurückzuweisen (vgl. act. 72 E. 8.2.4).</w:t>
      </w:r>
    </w:p>
    <w:p>
      <w:r>
        <w:rPr>
          <w:b/>
        </w:rPr>
        <w:t>E. 3</w:t>
      </w:r>
    </w:p>
    <w:p>
      <w:r>
        <w:t>Das Bundesgericht entschied also deshalb nicht reformatorisch und wies die Sache stattdessen an das Obergericht zurück, weil die entsprechenden Beträge vom Obergericht nicht festgestellt wurden. Da aber auch das Mietgericht des Be- zirksgerichts Bülach die Höhe der Beträge nicht beurteilt hat (vgl. Art. 318 Abs. 1 lit. c Ziff. 1 ZPO), sowie zur Wahrung des Instanzenzugs, erscheint es angezeigt, die Dispositiv-Ziffern 2. bis 5. des mietgerichtlichen Urteils vom 25. Januar 2018 aufzuheben und die Sache zur Ergänzung an die Vorinstanz zurückzuweisen (Dispositiv-Ziffer 1. des Urteils ist bereits in Rechtskraft erwachsen). Die Vorin-</w:t>
      </w:r>
    </w:p>
    <w:p>
      <w:r>
        <w:t>- 8 - stanz wird also die Höhe der unter der Position "Diverse Betriebskosten" getätig- ten Nachzahlungen zu bestimmen haben, soweit in diesen keine Saldoanerken- nung zu sehen ist (vgl. act. 72 E. 10). Hinzuweisen ist im Übrigen auf die Erwä- gung 9 des bundesgerichtlichen Urteils zu den nicht hinreichend substanziierten Behauptungen der Kläger. Auch das wird zu beachten sein.</w:t>
      </w:r>
    </w:p>
    <w:p>
      <w:r>
        <w:rPr>
          <w:b/>
        </w:rPr>
        <w:t>E. 4</w:t>
      </w:r>
    </w:p>
    <w:p>
      <w:r>
        <w:t>Der Entscheid über die Verteilung der Prozesskosten des vorliegenden Be- rufungsverfahrens wird dem neuen Entscheid der Vorinstanz vorbehalten.</w:t>
      </w:r>
    </w:p>
    <w:p>
      <w:r>
        <w:rPr>
          <w:b/>
        </w:rPr>
        <w:t>E. 5</w:t>
      </w:r>
    </w:p>
    <w:p>
      <w:r>
        <w:t>Es wird vorgemerkt, dass die Berufungskläger für das Verfahren NG180006 bei der Rechtsmittelinstanz Kostenvorschüsse von insgesamt Fr. 3'900.– ge- leistet haben.</w:t>
      </w:r>
    </w:p>
    <w:p>
      <w:r>
        <w:rPr>
          <w:b/>
        </w:rPr>
        <w:t>E. 6</w:t>
      </w:r>
    </w:p>
    <w:p>
      <w:r>
        <w:t>Schriftliche Mitteilung an die Parteien sowie an das Mietgericht des Bezirks- gerichts Bülach,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- 10 - Dies ist ein Zwischenentscheid im Sinne von Art. 93 BGG. Es handelt sich um eine mietrechtliche Angelegenheit. Der Streitwert beträgt Fr. 32'444.10. Die Beschwerde an das Bundesgericht hat keine aufschiebende Wirkung. Obergericht des Kantons Zürich II. Zivilkammer Der Gerichtsschreiber: MLaw R. Jenny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