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NG140011 vom 1. Juni 2015</w:t>
      </w:r>
    </w:p>
    <w:p>
      <w:r>
        <w:t>ZH Obergericht, 2015-06-01, DE</w:t>
      </w:r>
    </w:p>
    <w:p>
      <w:r>
        <w:rPr>
          <w:b/>
        </w:rPr>
        <w:t xml:space="preserve">Quelle: </w:t>
      </w:r>
      <w:r>
        <w:t>https://mcp.opencaselaw.ch/entscheid/zh_obergericht_NG140011</w:t>
      </w:r>
    </w:p>
    <w:p>
      <w:r>
        <w:t>FR: ZH_OBERGERICHT NG140011 du 1 juin 2015</w:t>
      </w:r>
    </w:p>
    <w:p>
      <w:r>
        <w:t>IT: ZH_OBERGERICHT NG140011 del 1 giugno 2015</w:t>
      </w:r>
    </w:p>
    <w:p>
      <w:pPr>
        <w:pStyle w:val="Heading2"/>
      </w:pPr>
      <w:r>
        <w:t>Erwägungen</w:t>
      </w:r>
    </w:p>
    <w:p>
      <w:r>
        <w:rPr>
          <w:b/>
        </w:rPr>
        <w:t>E. 1</w:t>
      </w:r>
    </w:p>
    <w:p>
      <w:r>
        <w:t>September 2010 eine zirka 90m2 Gewerbefläche (im Rohbau) von der Beklag- ten und Berufungsbeklagten (nachfolgend Beklagte). Die Beklagte hatte ihrerseits die entsprechenden Räumlichkeiten von der C._____ AG im 3. Obergeschosses an der …strasse … in D._____ gemietet. Die Beklagte betrieb darin den Club …, der Kläger mietete die genannte Fläche zum Betrieb eines Bistros (Prot. Vi S. 10 und 12; act. 2 Rz. 7; act. 13 Rz. 7-11; act. 85 Rz. 2 f.; act. 93 Rz. 5; act. 92 S. 2 und 6). Für die Planung des Bistros wurde der Architekt E._____ beigezogen. Auf das Abfassen schriftlicher Verträge wurde verzichtet.</w:t>
      </w:r>
    </w:p>
    <w:p>
      <w:r>
        <w:t>- 4 - Das Baugesuch für das Bistro datiert vom 6. Mai 2009. Dieses, sowie die beige- legten Pläne, wurden von der Grundeigentümerin C._____ AG, der Beklagten als Gesuchstellerin resp. Bauherrin und dem Architekten E._____ als Projektverfas- ser unterzeichnet (act. 15/2). Die Baubewilligung für das Bistro wurde mit Verfü- gung vom 29. Juni 2009 erteilt (act. 15/3). Davon erhielt der Kläger von der Be- klagten resp. deren Geschäftsführer F._____ mündliche Mitteilung (act. 26 Rz. 72; act. 85 Rz. 16). Mit Rechnung vom 10. Februar 2010 kaufte der Kläger u.a. einen Kochherd und baute diesen in der Bistroküche ein (act. 28/24). Nach der feuerpo- lizeilichen Kontrolle am 25. Oktober 2010 erging am 22. Dezember 2010 ein Nut- zungsverbot für die Küche, weil, wie sich herausstellte, in der Bistroküche ein Herd eingebaut war, welcher von der Baubewilligung nicht erfasst war (act. 5/4; act. 15/5). Der Kläger erfuhr vom Nutzungsverbot der Küche (act. 5/4) durch G._____, dem Hauswart der Grundeigentümerin (act. 2 Rz. 9; act. 13 Rz. 27 und 74; act. 84 S. 6; act. 85 Rz. 24). In der Folge blieb der Betrieb des Bistros bzw. der Küche eingestellt. Das Untermietverhältnis der Parteien endete durch Kündi- gung seitens des Klägers am 31. März 2012 (act. 2 Rz. 33; act. 5/21; act. 13 Rz. 128).</w:t>
      </w:r>
    </w:p>
    <w:p>
      <w:r>
        <w:rPr>
          <w:b/>
        </w:rPr>
        <w:t>E. 2</w:t>
      </w:r>
    </w:p>
    <w:p>
      <w:r>
        <w:t>Gegen das vorinstanzliche Urteil vom 22. Oktober 2014 erhob der Kläger mit Eingabe vom 24. November 2014 rechtzeitig Berufung, wobei er die eingangs ge- nannten Rechtsmittelanträge stellte (act. 93). Die vorinstanzlichen Akten wurden beigezogen (act. 1-90). Mit Verfügung der Kammer vom 26. November 2014 wur- de dem Kläger Frist zur Leistung eines Kostenvorschusses angesetzt. Der Kläger leistete den Kostenvorschuss fristgerecht (act. 95-97).</w:t>
      </w:r>
    </w:p>
    <w:p>
      <w:r>
        <w:rPr>
          <w:b/>
        </w:rPr>
        <w:t>E. 2.1</w:t>
      </w:r>
    </w:p>
    <w:p>
      <w:r>
        <w:t>Der Kläger bringt vor, dass ihm das feuerpolizeiliche Nutzungsverbot für die Bistroküche nicht durch die Beklagte, sondern rein zufällig rund zwei Wochen nach Eingang der Verfügung bei der Beklagten durch G._____, den Hauswart der Hauseigentümerin, mitgeteilt worden sei. Er rügt, die Vorinstanz habe sich mit der Feststellung begnügt, dass er – ob mit oder ohne Zutun der Beklagten – rechtzei- tig über das Nutzungsverbot informiert worden sei. Dabei habe sie ignoriert, dass die Beklagte ihre vermieterseitige Pflicht, ihn umgehend über das Nutzungsverbot zu informieren, nicht oder verspätet erfüllt habe. Dadurch seien zwei wertvolle Wochen vergangen, in denen nichts getan worden sei, er vergeblich eingekauft</w:t>
      </w:r>
    </w:p>
    <w:p>
      <w:r>
        <w:t>- 17 - und vergeblich betriebliche Dispositionen getroffen habe (act. 93 Rz. 53-54, 58-59 und 63).</w:t>
      </w:r>
    </w:p>
    <w:p>
      <w:r>
        <w:rPr>
          <w:b/>
        </w:rPr>
        <w:t>E. 2.2</w:t>
      </w:r>
    </w:p>
    <w:p>
      <w:r>
        <w:t>Selbst wenn es zutrifft, dass die Beklagte vom Nutzungsverbot früher Kenntnis erhalten hatte, sie die Verfügung der Feuerpolizei vom 22. Dezember 2010 dem Kläger nicht (umgehend) zukommen liess und insofern eine vertragli- che Nebenpflicht verletzte, so kann der Kläger aus seinen Rügen dennoch nichts für sich gewinnen. Zunächst einmal versäumte er es, (substantiiert) zu behaupten, welche konkreten Vorhaben er in den zwei Wochen über die Feiertage resp. die Jahreswende 2010/2011 veranlasst hätte oder wenigstens konkret hätte veran- lassen können, und welcher konkrete Schaden ihm aus den nicht getätigten Vor- haben entstanden sein soll; zugegebenermassen hatte das Bistro infolge Be- triebsferien vom 15. Dezember 2010 an geschlossen und war die Wiedereröff- nung erst um den 15. Januar 2011 herum geplant (vgl. Prot. Vi S. 11; act. 26 Rz. 40; act. 58 S. 3; act. 85 Rz. 24). Im Weiteren sagte G._____ anlässlich der Zeugenbefragung aus, der Kläger sei zum Einkaufen zu ihm gekommen und habe mit ihm sprechen wollen. Auf Nachfrage, ob der Kläger schon etwas über das Nutzungsverbot gewusst habe, antwortete G._____, der Kläger sei darüber infor- miert gewesen, dass er nicht mehr kochen dürfe, deshalb habe er (der Kläger) mit ihm sprechen wollen (act. 56 S. 6). Aus dieser Aussage sowie den Angaben des Klägers (vgl. auch act. 26 Rz. 33) ist nicht eingängig, weshalb vergebliche Einkäu- fe für das Bistro getätigt worden sein sollen. Der Kläger behauptet insbesondere nicht, erst nach dem Einkauf G._____ getroffen bzw. vom Nutzungsverbot Kennt- nis erhalten zu haben. Ebenfalls lässt sich aus den Vorbringen des Klägers nicht schliessen, dass er Einkäufe tätigte, welche keine Verwendung fanden. Es ist auch nicht ersichtlich, dass der Kläger diese Tatsachenbehauptungen bereits vor Vorinstanz vorgebracht hätte. Hinsichtlich der vergeblich getroffenen betrieblichen Dispositionen führt der Kläger in seiner Berufungsschrift schliesslich selber an, diese seien vor Vorinstanz nicht zur Sprache gekommen (act. 93 Rz. 59). Dass es ihm trotz zumutbarer Sorgfalt nicht möglich gewesen wäre, die Tatsachenbehaup- tungen bereits vor Vorinstanz vorzubringen, macht er nicht geltend. Die Tatsa- chenbehauptungen stellen daher nicht zu berücksichtigende Noven dar (Art. 317 Abs. 1 ZPO; vgl. oben Erw. III.2.3.).</w:t>
      </w:r>
    </w:p>
    <w:p>
      <w:r>
        <w:t>- 18 -</w:t>
      </w:r>
    </w:p>
    <w:p>
      <w:r>
        <w:rPr>
          <w:b/>
        </w:rPr>
        <w:t>E. 2.3</w:t>
      </w:r>
    </w:p>
    <w:p>
      <w:r>
        <w:t>Neue Tatsachen und Beweismittel sind im Berufungsverfahren nur dann noch zu berücksichtigen, wenn sie ohne Verzug vorgebracht werden und trotz zumutbarer Sorgfalt nicht schon vor erster Instanz hatten vorgebracht werden können (Art. 317 Abs. 1 ZPO; vgl. dazu BGE 138 III 625). In prozessualer Hinsicht hat eine Partei, welche neue Tatsachen und/oder Beweismittel im Berufungsver- fahren einführen will, der Rechtsmittelinstanz (und der Gegenpartei) jeweils dar- zulegen, dass dies ohne Verzug erfolgt ist und weshalb es ihr trotz zumutbarer Sorgfalt nicht möglich gewesen war, die Tatsache und/oder das Beweismittel be- reits vor erster Instanz vorzubringen (vgl. etwa Volkart, DIKE-Komm-ZPO, Art. 317 N 14 f., ZK ZPO-Reetz/Hilber, a.a.O., Art. 317 N 49; siehe auch OGer ZH LB110049 vom 5. März 2012, E. 1.1 und E. 1.2). Fehlt es an dergleichen Darle- gungen, erweist sich die Berufung in Bezug auf die darin vorgetragenen Noven als unbegründet und bleiben diese insofern unbeachtlich. IV. A. Unbestrittenes Vorab ist festzuhalten, dass der Kläger die Erwägungen der Vorinstanz zum Zweck der Miete resp. Inhalt des Mietvertrages in seiner Berufungsschrift nicht bestreitet. In Übereinstimmung mit den zutreffenden vorinstanzlichen Erwägungen</w:t>
      </w:r>
    </w:p>
    <w:p>
      <w:r>
        <w:t>- 8 - ist daher vom Vorliegen einer Rohbau(unter-)miete zwischen den Parteien auszu- gehen, mit der mietvertraglich vereinbarten Pflicht der Beklagten, dem Kläger das Mietobjekt in einem für den Ausbau zu einer Verpflegungseinrichtung namens Bistro geeigneten Zustand zu übergeben. Konkrete Vorgaben der Beklagten für die Ausgestaltung der Verpflegungseinrichtung (Einbau eines Herds oder nicht) bestanden gemäss Untermietvertrag nicht. Planung, Bau und Betrieb des Bistros waren vertraglich zur Sache des Klägers gemacht worden (vgl. act. 92 S. 6 und 21). B. Vertragsverhältnis zum Architekten 1. Die Vorinstanz erwog, das Hauptproblem bestehe darin, dass der Kläger sich für eine Küche mit Kochherd entschieden habe und davon ausgegangen sei, dass entsprechende Pläne zur (Bau-)Bewilligung eingereicht sowie genehmigt worden seien. Bei Vorliegen einer Rohbaumiete sei grundsätzlich der Mieter/Klä- ger für den Mieterausbau bzw. die Ausführung der entsprechenden Arbeiten ver- antwortlich. Er trage dementsprechend die Verantwortung für all seine für den Ausbau beigezogenen Hilfspersonen, wie Architekt und Handwerker. Ein zwi- schen dem Kläger und den Hilfspersonen eingetretenes Kommunikationsversa- gen könne dem/der am Mieterausbau unbeteiligten Vermieter/Beklagten nicht an- gelastet werden. Zwischen den Parteien hätte Uneinigkeit darüber bestanden, in wessen Auftrag E._____ die Bistropläne erstellt hatte und wer für deren korrekte Eingabe bei der Baubehörde verantwortlich gewesen war. Die Vorinstanz kam im Rahmen der Beweiswürdigung zum Schluss, dass von einem zwischen dem Klä- ger und dem Architekten E._____ bestehenden Vertragsverhältnis auszugehen sei (act. 92 S. 21-23, 34).</w:t>
      </w:r>
    </w:p>
    <w:p>
      <w:r>
        <w:rPr>
          <w:b/>
        </w:rPr>
        <w:t>E. 3</w:t>
      </w:r>
    </w:p>
    <w:p>
      <w:r>
        <w:t>Da sich die Berufung, wie nachfolgend aufzuzeigen sein wird, sogleich als unbegründet erweist, kann auf die Einholung einer Berufungsantwort verzichtet werden (Art. 312 Abs. 1 ZPO). Der Gegenpartei ist lediglich ein Doppel der Beru-</w:t>
      </w:r>
    </w:p>
    <w:p>
      <w:r>
        <w:t>- 6 - fungsschrift zuzustellen. Auf die Vorbringen des Klägers ist nachfolgend – soweit entscheidrelevant – einzugehen. III. 1. Im streitgegenständlichen (ordentlichen) Verfahren gelten die Verhandlungs- und Dispositionsmaxime (vgl. Art. 247 i.V.m. Art. 243 Abs. 1 und 2 lit. c ZPO e contrario, Art. 55 Abs. 1 und Art. 58 Abs. 1 ZPO).</w:t>
      </w:r>
    </w:p>
    <w:p>
      <w:r>
        <w:rPr>
          <w:b/>
        </w:rPr>
        <w:t>E. 3.1</w:t>
      </w:r>
    </w:p>
    <w:p>
      <w:r>
        <w:t>Der Kläger führt aus, für den Leser der feuerpolizeilichen Verfügung sei völ- lig klar gewesen, dass der Bau oder die Verbesserung der Brandschutzmauer vorzukehren gewesen wäre, doch die Vorinstanz finde es völlig unklar, warum er sich nicht selber bei der Feuerpolizei erkundigt habe. Effektiv unklar sei nur ge- blieben, wie genau der Mangel der Brandschutzmauer beschaffen gewesen sei. Für ihn habe es keine Veranlassung zur Annahme gegeben, dass die Auflage einzig auf den eingebauten Kochherd zurückzuführen sei (act. 93 Rz. 61-62). Da das Konzept und die Gestaltung des Bistros unbestrittenermassen seinem Gut- dünken überlassen worden sei, sei ihm mietvertraglich das Recht zugekommen, die Küche mit Kochherd zu bauen. Damit habe er auch ein Anrecht darauf gehabt, die Brandschutzmauer zu errichten oder errichten zulassen (act. 93 Rz. 65).</w:t>
      </w:r>
    </w:p>
    <w:p>
      <w:r>
        <w:rPr>
          <w:b/>
        </w:rPr>
        <w:t>E. 3.2</w:t>
      </w:r>
    </w:p>
    <w:p>
      <w:r>
        <w:t>Diesen Vorbringen des Klägers fehlt es an einer erkennbar sachbezogenen Auseinandersetzung mit den vorinstanzlichen Erwägungen. Sie genügen daher den Anforderungen an die Berufungsbegründung nicht (vgl. oben Erw. III.2.2.1.). Ferner erübrigen sich Weiterungen insofern, wie der Kläger in Fortführung seiner Äusserungen beanstandet, dass die Vorinstanz jegliche Mängel des Innenaus- bauprojekts seiner Risikosphäre zugeordnet habe, und er zudem anführt, die Ver- antwortung für seine Unkenntnis über die Inkongruenz der Bauausführung mit der Baubewilligung sei aufgrund der unzulänglichen Erfüllung der auftragsrechtlichen Informationspflicht durch die Beklagte nicht ihm, sondern dieser zuzuschreiben. Gleiches gilt für seine Behauptungen, dass die Beklagte aufgrund der übernom- menen Vertretung des Bistro-Bauprojektes nach aussen gegenüber den Behör- den dafür zuständig gewesen sei, für ihn die Voraussetzungen zur Erfüllung der behördlichen Brandschutzauflagen zu schaffen, wozu primär der Bau der Brand- schutzmauer gehört habe (act. 93 Rz. 64-65). Darauf ist nicht weiter einzugehen, es kann vollumfänglich auf vorstehende Erwägungen (vgl. oben Erw. IV.C.2.1.- 2.2.) verwiesen werden. Dass der Bau der Brandschutzmauer mit der Beklagten abzusprechen gewesen wäre, sie den Bau nicht ohne ihre ausdrückliche Zustim- mung und Genehmigung geduldet hätte und er die Brandschutzmauer nicht ohne die Mitwirkung der Beklagten sowie der Hauseigentümerin habe bauen können, da eine solche mit tragenden Aussenmauern hätte verbunden werden müssen (act. 93 Rz. 64 und 67), stellen abermals nicht zu berücksichtigende Noven dar.</w:t>
      </w:r>
    </w:p>
    <w:p>
      <w:r>
        <w:t>- 19 - E. Fazit Die vom Kläger im Berufungsverfahren erhobenen Rügen vermögen an den zu- treffenden sowie sorgfältigen Erwägungen der Vorinstanz und ihrem Schluss, dass keine Grundlage für die vom Kläger gegenüber der Beklagten gestellte For- derung auf Schadenersatz und entgangenen Gewinn bestehe, nichts zu ändern. Der Kläger dringt mit seinem Antrag um Aufhebung des vorinstanzlichen Urteils und Rückweisung der Sache zwecks Fortsetzung des Hauptverfahrens nicht durch. Seine Berufung ist folglich abzuweisen, und das Urteil des Mietgerichts Us- ter vom 22. Oktober 2014 (MD120001-I/U01) ist zu bestätigen. V. 1. Ausgangsgemäss wird der Kläger für das zweitinstanzliche Verfahren kos- tenpflichtig (Art. 106 Abs. 1 ZPO). Die Gerichtskosten für das Berufungsverfahren sind, ausgehend von einem Streitwert von Fr. 112'700.00, in Anwendung von § 12 Abs. 1 und 2 in Verbindung mit § 4 Abs. 1 der Gebührenverordnung des Oberge- richts vom 8. September 2010 (GebV OG) auf Fr. 9'000.00 festzusetzen und dem Kläger aufzuerlegen. Die Liquidation der Gerichtkosten erfolgt durch Verrechnung mit dem vom Kläger geleisteten Kostenvorschuss (act. 38; Art. 111 Abs. 1 ZPO). 2. Der Beklagten ist mangels relevanter Umtriebe im Berufungsverfahren keine Parteientschädigung zuzusprechen (vgl. Art. 95 Abs. 3 ZPO), dem Kläger nicht, weil er unterliegt (Art. 106 Abs. 1 ZPO). Es wird erkannt: 1. Die Berufung wird abgewiesen, und das Urteil des Mietgerichts Uster vom 22. Oktober 2014 (MD120001-I/U01) wird bestätigt. 2. Die zweitinstanzliche Entscheidgebühr wird auf Fr. 9'000.00 festgesetzt. 3. Die Gerichtskosten für das zweitinstanzliche Verfahren werden dem Kläger auferlegt und mit seinem Kostenvorschuss verrechnet.</w:t>
      </w:r>
    </w:p>
    <w:p>
      <w:r>
        <w:t>- 20 - 4. Es werden keine Parteientschädigungen zugesprochen.</w:t>
      </w:r>
    </w:p>
    <w:p>
      <w:r>
        <w:rPr>
          <w:b/>
        </w:rPr>
        <w:t>E. 5</w:t>
      </w:r>
    </w:p>
    <w:p>
      <w:r>
        <w:t>Schriftliche Mitteilung an die Parteien, an die Beklagte unter Beilage des Doppels von act. 93, sowie an das Mietgericht Uster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112'700.00. Die Beschwerde an das Bundesgericht hat keine aufschiebende Wirkung. Obergericht des Kantons Zürich II. Zivilkammer Die Vorsitzende: Die Gerichtsschreiberin: lic. iur. A. Katzenstein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