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NG130015 vom 20. November 2013</w:t>
      </w:r>
    </w:p>
    <w:p>
      <w:r>
        <w:t>ZH Obergericht, 2013-11-20, DE</w:t>
      </w:r>
    </w:p>
    <w:p>
      <w:r>
        <w:rPr>
          <w:b/>
        </w:rPr>
        <w:t xml:space="preserve">Quelle: </w:t>
      </w:r>
      <w:r>
        <w:t>https://mcp.opencaselaw.ch/entscheid/zh_obergericht_NG130015</w:t>
      </w:r>
    </w:p>
    <w:p>
      <w:r>
        <w:t>FR: ZH_OBERGERICHT NG130015 du 20 novembre 2013</w:t>
      </w:r>
    </w:p>
    <w:p>
      <w:r>
        <w:t>IT: ZH_OBERGERICHT NG130015 del 20 novembre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Eventualiter sei das Mietverhältnis der Parteien um drei Jahre zu er- strecken.</w:t>
      </w:r>
    </w:p>
    <w:p>
      <w:r>
        <w:rPr>
          <w:b/>
        </w:rPr>
        <w:t>E. 3</w:t>
      </w:r>
    </w:p>
    <w:p>
      <w:r>
        <w:t>Unter Kosten- und Entschädigungsfolge (inkl. Mehrwertsteuer) zulasten der Beklagten." Die Vorinstanz führte mit den Parteien am 29. März 2012 die Hauptverhandlung durch (Prot. VI S. 6 ff.). Am 4. Dezember 2012 fand die Parteibefragung von D._____ sowie die Zeugeneinvernahme von E._____ und ein Augenschein in der Wohnung der Kläger statt (Prot. VI S. 39 ff.). Am 21. Januar 2013 wurde G._____ (Architekt) als Zeuge einvernommen und anschliessend die Schlussverhandlung durchgeführt (Prot. VI S. 73 ff.). Am 8. August 2013 fällte die Vorinstanz schliess- lich folgendes Urteil (act. 38 = act. 42 = act. 44):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