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NF070004 vom 22. Januar 2008</w:t>
      </w:r>
    </w:p>
    <w:p>
      <w:r>
        <w:t>ZH Obergericht, 2008-01-22, DE</w:t>
      </w:r>
    </w:p>
    <w:p>
      <w:r>
        <w:rPr>
          <w:b/>
        </w:rPr>
        <w:t xml:space="preserve">Quelle: </w:t>
      </w:r>
      <w:r>
        <w:t>https://mcp.opencaselaw.ch/entscheid/zh_obergericht_NF070004</w:t>
      </w:r>
    </w:p>
    <w:p>
      <w:r>
        <w:t>FR: ZH_OBERGERICHT NF070004 du 22 janvier 2008</w:t>
      </w:r>
    </w:p>
    <w:p>
      <w:r>
        <w:t>IT: ZH_OBERGERICHT NF070004 del 22 gennaio 2008</w:t>
      </w:r>
    </w:p>
    <w:p>
      <w:pPr>
        <w:pStyle w:val="Heading2"/>
      </w:pPr>
      <w:r>
        <w:t>Erwägungen</w:t>
      </w:r>
    </w:p>
    <w:p>
      <w:r>
        <w:rPr>
          <w:b/>
        </w:rPr>
        <w:t>E. 1</w:t>
      </w:r>
    </w:p>
    <w:p>
      <w:r>
        <w:t>Die Vorinstanz hiess die Klage bezüglich Rechtsbegehren Ziffer 1 gut und wies sie im Übrigen, d.h. betreffend Kollokation der drei Anleihensobligationen in</w:t>
      </w:r>
    </w:p>
    <w:p>
      <w:r>
        <w:t>- 6 - der ersten Klasse gemäss Art. 219 Abs. 4 lit. b SchKG (Rechtsbegehren Ziffer 6) ab, soweit die Klage als Folge eines aussergerichtlich geschlossenen Vergleichs nicht zurückgezogen worden war (act. 24 S. 12/13).</w:t>
      </w:r>
    </w:p>
    <w:p>
      <w:r>
        <w:rPr>
          <w:b/>
        </w:rPr>
        <w:t>E. 2</w:t>
      </w:r>
    </w:p>
    <w:p>
      <w:r>
        <w:t>Die Klägerin stellt sich unter Hinweis auf den Bundesgerichtsentscheid BGE 129 III 468 E. 3.5. auf den Standpunkt, das Konkursprivileg der ersten Klasse gelte für alle Forderungen von Personalvorsorgeeinrichtungen gegenüber den angeschlossenen Arbeitgebern, unabhängig ihrer rechtlichen Grundlage, d.h. nicht nur für Beitragsforderungen sondern auch für Darlehensforderungen. Das Bundesgericht folge mit seiner Entscheidung der überwiegenden Lehrmeinung.</w:t>
      </w:r>
    </w:p>
    <w:p>
      <w:r>
        <w:t>- 7 - Dieser Auffassung hätten sich auch alle neuen Kommentatoren, die sich seitdem zu diesem Entscheid geäussert hätten, angeschlossen. Die Klägerin hält der Vo- rinstanz weiter entgegen, die Emittentin sei nie Schuldnerin der Anleihen gewe- sen; vielmehr sei die Beklagte immer Schuldnerin der Anleihen gewesen und die Klägerin habe durch Zeichnung von Anleihen auf dem direkt möglichsten Weg Forderungen erworben (act. 32 und act. 41).</w:t>
      </w:r>
    </w:p>
    <w:p>
      <w:r>
        <w:rPr>
          <w:b/>
        </w:rPr>
        <w:t>E. 3</w:t>
      </w:r>
    </w:p>
    <w:p>
      <w:r>
        <w:t>Die Beklagte hält ihrerseits dafür, die vorliegend zu beurteilenden Forderun- gen seien ursprünglich nicht im Verhältnis der Vorsorgeeinrichtung gegenüber dem angeschlossenen Arbeitgeber begründet, sondern ursprünglich zwischen letzterem und einem Dritten, dem emittierenden Bankenkonsortium, entstanden, und nachträglich von der Vorsorgeeinrichtung erworben worden. Die von der Be- klagten ausgegebenen Anleihensobligationen seien grundsätzlich keine privile- gierten Forderungen. Durch den Erwerb von Anleihensobligationen durch die Vor- sorgeeinrichtung habe daher keine Privilegierung übertragen werden bzw. entste- hen können. Weiter ist die Beklagte der Auffassung, das Privileg von Art. 219 Abs. 4 lit. b SchKG umfasse nur jene Forderungen, die ihren Ursprung in einem Rechtsverhältnis zwischen der Vorsorgeeinrichtung und dem angeschlossenen Arbeitgeber hätten und nicht mit der normalen, vom angeschlossenen Arbeitgeber unabhängigen Anlagestrategie der Vorsorgeeinrichtung zusammenhingen. Eine über die Schutzbestimmungen der BVV 2 hinausgehende Privilegierung nach Art. 219 Abs. 4 lit. b SchKG führte zu einer zusätzlichen Bevorzugung der Vorsor- geeinrichtungen (act. 38 und 46).</w:t>
      </w:r>
    </w:p>
    <w:p>
      <w:r>
        <w:rPr>
          <w:b/>
        </w:rPr>
        <w:t>E. 4</w:t>
      </w:r>
    </w:p>
    <w:p>
      <w:r>
        <w:t>Begrifflich lassen sich Anleihensobligationen definieren als ein in Teilbeträ- gen aufgeteiltes Grossdarlehen auf einheitlicher Rechtsgrundlage betreffend Zinssatz, Ausgabepreis, Laufzeit, Zeichnungsfrist und Liberierungsdatum. Dabei schliesst der Emittent bzw. Anleihensschuldner mit einer Vielzahl von Gläubigern (Investoren) selbständige Darlehensverträge ab, wobei die Forderungen übli- cherweise in Wertpapieren verurkundet werden. Anleihensobligationen sind Teil- schuldverschreibungen, die regelmässig in Wertpapieren verbrieft, in Serie zu nämlichen Bedingungen ausgegeben werden und mit welchen der Anleihens- nehmer dem Berechtigten Rückzahlung und Verzinsung einer bestimmten Geld-</w:t>
      </w:r>
    </w:p>
    <w:p>
      <w:r>
        <w:t>- 8 - summe zu den im Voraus festgelegten Bedingungen verspricht (BSK OR I-Watter, Art. 1156 N 2; BSK OR I-Steinmann, Vorbemerkungen zu Art. 1157-1186 N 1; Meier-Hayoz/von der Crone, Wertpapierrecht, 2. Auflage, Bern 2000, § 20 N 1-3). Anleihensobligationen entstehen durch Inverkehrsetzung der Urkunde im Rahmen eines Begebungsvertrages, dem deklarative Funktion zukommt. Die im Titel ver- brieften Forderungsrechte, das Recht auf Rückzahlung der Kapitalsumme, das Recht auf Verzinsung und die Sicherungsrechte entstehen bereits mit der Liberie- rung; Anleihensobligationen werden als Massenpapiere ausgestellt; sie werden auf einen Zeitpunkt hin in Serie zu gleichen Bedingungen ausgegeben und verur- kunden inhaltlich gleiche Rechte (Meier-Hayoz/von der Crone, § 20 N 50 und 52). Wird eine Anleihe von einer Bank oder einer Bankengruppe fest übernommen, wird diese als erster Nehmer Eigentümer der ihnen zugeteilten Titel. Mit der Un- terbringung der Anleihensobligation im Publikum erfolgt deren erste rechtsge- schäftliche Übertragung: zwischen Bank und dem Anleihensobligationär wird ein Kaufvertrag geschlossen (Meier-Hayoz/von der Crone, § 20 N 74 ff.). Unter be- stimmten gesetzlichen Voraussetzungen – öffentliche Auflage zur Zeichnung bei einheitlichen Anleihensbedingungen, Sitz des Anleihensschuldners in der Schweiz und Unterstellung des Anleihensschuldners unter das Privatrecht (Art. 11157 Abs. 1 und 3 OR) – bilden die Anleihensobligationäre von Gesetzes wegen eine Gläubigergemeinschaft. Diese bezweckt einerseits die gemeinsame Wah- rung der Gläubigerinteressen und anderseits sollen dem Schuldner Sanierungs- massnahmen ermöglicht werden (Meier-Hayoz, § 20 N 98). Bei Eingriffen in die Gläubigerrechte hat die Gläubigergemeinschaft alle Gläubiger gleich zu behan- deln (Art. 1174 OR). Anleihensobligationen dienen dem Ausgeber als zumeist langfristige Kapitalbeschaffung und institutionellen Anlegern oder privaten Spa- rern als Kaptialanlage (Meier-Hayoz/von der Crone, § 20 N 94 f.). Hier wurden die Anleihensobligationen je von einem Bankenkonsortium fest über- nommen und dem Publikum durch einen Prospekt öffentlich zur Zeichnung ange- boten (act. 11/1-3). Weder die Emittentin (Swissair) noch die übernehmenden Banken waren oder sind Vorsorgeeinrichtungen. Die Ausgabe der Anleihensobli- gationen stand in keinem Zusammenhang mit einem Vorsorgeverhältnis; sie dienten der Kapitalbeschaffung für die Mitfinanzierung der Erneuerung und Er-</w:t>
      </w:r>
    </w:p>
    <w:p>
      <w:r>
        <w:t>- 9 - weiterung des Flugzeugparkes und der zugehörigen Investitionen (act. 11/1-3). Es ist daher nicht ersichtlich, inwiefern die aus den Anleihenobligationen entstehen- den Forderungen mit einem Privileg im Sinne von Art. 219 Abs. 4 lit. b SchKG ausge-stattet sein könnten. Mit der Zeichnung und Liberierung oder dem späteren Erweb hat die Klägerin von den betreffenden Bankenkonsortien Anleihensobliga- tionen käuflich erworben, denen kein Konkursprivileg anhaftete, da durch den Verkauf resp. Zukauf die rechtlichen Eigenschaften einer Forderung nicht verän- dert werden.</w:t>
      </w:r>
    </w:p>
    <w:p>
      <w:r>
        <w:rPr>
          <w:b/>
        </w:rPr>
        <w:t>E. 5</w:t>
      </w:r>
    </w:p>
    <w:p>
      <w:r>
        <w:t>Die Kosten für das zweitinstanzliche Verfahren werden der Klägerin aufer- legt.</w:t>
      </w:r>
    </w:p>
    <w:p>
      <w:r>
        <w:rPr>
          <w:b/>
        </w:rPr>
        <w:t>E. 6</w:t>
      </w:r>
    </w:p>
    <w:p>
      <w:r>
        <w:t>Die Klägerin wird verpflichtet, der Beklagten für das Berufungsverfahren eine Prozessentschädigung von Fr. 40'000.-- zu bezahlen.</w:t>
      </w:r>
    </w:p>
    <w:p>
      <w:r>
        <w:rPr>
          <w:b/>
        </w:rPr>
        <w:t>E. 7</w:t>
      </w:r>
    </w:p>
    <w:p>
      <w:r>
        <w:t>Schriftliche Mitteilung an die Parteien sowie an das Bezirksgericht Zürich, je gegen Empfangsschein. Nach unbenutztem Ablauf der Rechtsmittelfrist gehen die erstinstanzlichen Akten an die Vorinstanz zurück.</w:t>
      </w:r>
    </w:p>
    <w:p>
      <w:r>
        <w:rPr>
          <w:b/>
        </w:rPr>
        <w:t>E. 8</w:t>
      </w:r>
    </w:p>
    <w:p>
      <w:r>
        <w:t>Gegen diesen Entscheid kann innert 30 Tagen von dessen Zustellung an beim Kassationsgericht des Kantons Zürich, Postfach, 8022 Zürich, durch eine § 288 der Zivilprozessordnung (ZPO) entsprechende Eingabe im Dop- pel kantonale Nichtigkeitsbeschwerde im Sinne von § 281 ff. ZPO erhoben werden.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Wird kantonale Nichtigkeitsbeschwerde erhoben, so läuft die Frist für die Beschwerde an das Bundesgericht erst ab Zustellung des Entscheids des Kassationsgerichts (Art. 100 Abs. 6 BGG).</w:t>
      </w:r>
    </w:p>
    <w:p>
      <w:r>
        <w:t>- 20 - Dies ist ein Endentscheid im Sinne von Art. 90 BGG. Es handelt sich um eine vermögensrechtliche Angelegenheit. Der Streitwert beträgt Fr. 12'223’823.--. Die Beschwerden an das Kassationsgericht und an das Bundesgericht haben keine aufschiebende Wirkung. __________________________________ OBERGERICHT DES KANTONS ZÜRICH II. Zivilkammer Der Präsident: Die juristische Sekretärin: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