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NE240007 vom 4. Februar 2025</w:t>
      </w:r>
    </w:p>
    <w:p>
      <w:r>
        <w:t>ZH Obergericht, 2025-02-04, DE</w:t>
      </w:r>
    </w:p>
    <w:p>
      <w:r>
        <w:rPr>
          <w:b/>
        </w:rPr>
        <w:t xml:space="preserve">Quelle: </w:t>
      </w:r>
      <w:r>
        <w:t>https://mcp.opencaselaw.ch/entscheid/zh_obergericht_NE240007</w:t>
      </w:r>
    </w:p>
    <w:p>
      <w:r>
        <w:t>FR: ZH_OBERGERICHT NE240007 du 4 février 2025</w:t>
      </w:r>
    </w:p>
    <w:p>
      <w:r>
        <w:t>IT: ZH_OBERGERICHT NE240007 del 4 febbraio 2025</w:t>
      </w:r>
    </w:p>
    <w:p>
      <w:pPr>
        <w:pStyle w:val="Heading2"/>
      </w:pPr>
      <w:r>
        <w:t>Erwägungen</w:t>
      </w:r>
    </w:p>
    <w:p>
      <w:r>
        <w:rPr>
          <w:b/>
        </w:rPr>
        <w:t>E. 1</w:t>
      </w:r>
    </w:p>
    <w:p>
      <w:r>
        <w:t>Mit Eingabe vom 1. Oktober 2024 erhob die Klägerin und Berufungsklägerin (fortan Klägerin) bei der Vorinstanz eine negative Feststellungsklage im Sinne von Art. 85a SchKG, mit welcher sie um Feststellung des Nichtbestands der mit Betrei- bung Nr. … in Betreibung gesetzten Forderungen und um Aufhebung der entspre- chenden Betreibung ersuchte (Urk. 7/1). Zudem stellte sie ein Gesuch um unent- geltliche Rechtspflege und stellte das folgende Massnahmenbegehren (Urk. 7/1 S. 1): "Es sei die Betreibung Nr. … für die Dauer des Prozesses vorläufig und vor- sorglich i. S. v. Art. 85a Abs. 2 lit. a SchKG einzustellen und das Betreibungs- amt Kloten anzuweisen, von jeglichen Pfändungshandlungen abzusehen und Mitteilungen an Dritte betreffend die genannte Betreibung zu unterlassen."</w:t>
      </w:r>
    </w:p>
    <w:p>
      <w:r>
        <w:rPr>
          <w:b/>
        </w:rPr>
        <w:t>E. 2</w:t>
      </w:r>
    </w:p>
    <w:p>
      <w:r>
        <w:t>Die Vorinstanz setzte mit Verfügung vom 10. Oktober 2024 einerseits der Klägerin Frist zur Ergänzung des Gesuchs um unentgeltliche Rechtspflege und an- dererseits der Beklagten und Berufungsbeklagten (fortan Beklagte) Frist zur Stel- lungnahme zum Gesuch der Klägerin um Erlass vorsorglicher Massnahmen an (Urk. 7/4). Mit Eingabe vom 17. Oktober 2024 samt Beilagen ergänzte die Klägerin ihr in der Klage gestelltes Gesuch um unentgeltliche Rechtspflege (Urk. 7/6 und Urk. 7/7/39-62). Mit Eingabe vom 11. November 2024 nahm sodann die Beklagte innert erstreckter Frist (vgl. Urk. 7/8) zum klägerischen Gesuch um Erlass vorsorg- licher Massnahmen Stellung; sie beantragte die Abweisung des Gesuchs (Urk. 7/12). Die Stellungnahme wurde der Klägerin mit Schreiben vom 13. Novem- ber 2024 zur Kenntnisnahme und freigestellter Stellungnahme innert 10 Tagen zu- gestellt (Urk. 7/15). Mit Telefonat vom 18. November 2024 (Urk. 7/17) sowie mit Eingabe vom 25. November 2024 ersuchte die Klägerin um Entscheid über ihr Ge- such um unentgeltliche Rechtspflege und um Sistierung der Frist zur freigestellten Stellungnahme zur schriftlichen Eingabe der Beklagten vom 11. November 2024 (Urk. 7/18). Mit Verfügung vom 27. November 2024 bewilligte die Vorinstanz der Klägerin die unentgeltliche Rechtspflege und bestellte Rechtsanwältin lic. iur. X._____ als unentgeltliche Rechtsbeiständin der Klägerin. In der gleichen Verfü-</w:t>
      </w:r>
    </w:p>
    <w:p>
      <w:r>
        <w:t>- 3 - gung wies die Vorinstanz das Gesuch um Sistierung der Frist zur freiwilligen Stel- lungnahme zur Eingabe vom 11. November 2024 der Beklagten ab und setzte der Klägerin eine nicht erstreckbare Notfrist von 5 Tagen für eine freiwillige Stellung- nahme an (Urk. 7/19). Am 29. November 2024 nahm die Klägerin sodann zur Ein- gabe der Beklagten vom 11. November 2024 schriftlich Stellung (Urk. 7/21). Am</w:t>
      </w:r>
    </w:p>
    <w:p>
      <w:r>
        <w:rPr>
          <w:b/>
        </w:rPr>
        <w:t>E. 5</w:t>
      </w:r>
    </w:p>
    <w:p>
      <w:r>
        <w:t>Dezember 2024 erliess die Vorinstanz die folgende Verfügung (Urk. 7/24 S. 9 = Urk. 2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