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NE170001 vom 25. April 2017</w:t>
      </w:r>
    </w:p>
    <w:p>
      <w:r>
        <w:t>ZH Obergericht, 2017-04-25, DE</w:t>
      </w:r>
    </w:p>
    <w:p>
      <w:r>
        <w:rPr>
          <w:b/>
        </w:rPr>
        <w:t xml:space="preserve">Quelle: </w:t>
      </w:r>
      <w:r>
        <w:t>https://mcp.opencaselaw.ch/entscheid/zh_obergericht_NE170001</w:t>
      </w:r>
    </w:p>
    <w:p>
      <w:r>
        <w:t>FR: ZH_OBERGERICHT NE170001 du 25 avril 2017</w:t>
      </w:r>
    </w:p>
    <w:p>
      <w:r>
        <w:t>IT: ZH_OBERGERICHT NE170001 del 25 aprile 2017</w:t>
      </w:r>
    </w:p>
    <w:p>
      <w:pPr>
        <w:pStyle w:val="Heading2"/>
      </w:pPr>
      <w:r>
        <w:t>Erwägungen</w:t>
      </w:r>
    </w:p>
    <w:p>
      <w:r>
        <w:rPr>
          <w:b/>
        </w:rPr>
        <w:t>E. 1</w:t>
      </w:r>
    </w:p>
    <w:p>
      <w:r>
        <w:t>Im Konkurs der C._____ AG in Liquidation verlangte die Klägerin und Beru- fungsbeklagte (nachfolgend Berufungsbeklagte) – eine Konkursgläubigerin – mit Klage vom 6. April 2006, das Konkursamt Affoltern am Albis sei anzuweisen, die Forderung der Beklagten und Berufungsklägerin (nachfolgend Berufungsklägerin) im Betrag von Fr. 95'000.– aus dem Kollokationsplan zu weisen. Eventualiter sei das Konkursamt anzuweisen, die grundpfandgesicherte Forderung der Beru- fungsklägerin im Betrag von Fr. 95'000.– im jetzt kollozierten Rang aus dem Las- tenverzeichnis/Kollokationsplan zu weisen und als Forderung der dritten Klasse aufzunehmen (vgl. act. 1 und act. 59). Wegen eines Aberkennungsprozesses zwischen der C._____ AG (in Konkurs) und der Berufungsbeklagten sistierte die Vorinstanz das Verfahren während Jah- ren (2006-2013). Nach Aufhebung der Sistierung hiess die Vorinstanz die Klage mit Urteil vom 27. Januar 2016 gut und wies die Forderung der Berufungsbeklag- ten aus dem Kollokationsplan (vgl. act. 91 = act. 99 = act. 105, nachfolgend zitiert als act. 105).</w:t>
      </w:r>
    </w:p>
    <w:p>
      <w:r>
        <w:rPr>
          <w:b/>
        </w:rPr>
        <w:t>E. 2</w:t>
      </w:r>
    </w:p>
    <w:p>
      <w:r>
        <w:t>Dagegen erhob die Berufungsklägerin Berufung bei der Kammer, mit wel- cher sie die Rückweisung an die Vorinstanz verlangte. In ihrer Begründung mach- te sie im Wesentlichen eine Verletzung des Anspruchs auf ein öffentliches und mündliches Verfahren und des rechtlichen Gehörs sowie der richterlichen Frage- pflicht geltend (vgl. act. 104). Die Kammer stellt in ihrem Entscheid vom 26. Mai 2016 zum einen fest, dass die Vorinstanz den Grundsatz der Öffentlichkeit verletzt habe, weil sie verpflichtet gewesen wäre, zumindest einen der beiden Vorträge im Sinne von § 121 ZPO/ZH mündlich durchzuführen (vgl. act. 121 S. 17). Zum anderen hielt sie fest, dass die Vorinstanz – unabhängig von der Mündlichkeit oder Schriftlichkeit des Verfahrens – die richterliche Fragepflicht gemäss § 55 ZPO/ZH verletzt und dadurch der Be- rufungsklägerin das rechtliche Gehör verweigert habe (vgl. act. 121 S. 23). Sie liess in ihrem Entscheid jedoch offen, ob die genannten Verfahrensmängel geheilt</w:t>
      </w:r>
    </w:p>
    <w:p>
      <w:r>
        <w:t>- 5 - werden könnten, da mangels Berufungsantrag in der Sache auf die Berufung oh- nehin nicht einzutreten sei (vgl. act. 121 E. 3. und E. 4 S. 25 f.).</w:t>
      </w:r>
    </w:p>
    <w:p>
      <w:r>
        <w:rPr>
          <w:b/>
        </w:rPr>
        <w:t>E. 3</w:t>
      </w:r>
    </w:p>
    <w:p>
      <w:r>
        <w:t>Das Bundesgericht hat die dagegen erhobene Beschwerde mit Urteil vom 19. Dezember 2016 teilweise gutgeheissen und den Entscheid der Kammer vom 24. Mai 2016 aufgehoben. Es hat erwogen, es sei nicht strittig, dass das Bezirks- gericht (= Vorinstanz) sowohl das rechtliche Gehör der Beschwerdeführerin (= Be- rufungsklägerin) als auch ihren Anspruch auf ein öffentliches Verfahren verletzt habe. Die Verletzung des rechtlichen Gehörs stehe dabei im Vordergrund. Ange- sichts der Rechtsnatur der Gehörsrüge sei das Obergericht voreilig auf die Beru- fung nicht eingetreten. Stelle die Rechtsmittelinstanz eine Verletzung des rechtli- chen Gehörs fest, so sei ihr Urteil in der Regel kassatorischer Natur. Nur bei Hei- lung der Verletzung könne die Rechtsmittelinstanz reformatorisch entscheiden. Für die blosse Feststellung einer Gehörsverletzung, die daraus folgende Aufhe- bung des angefochtenen Urteils und die Rückweisung der Sache an die Vor- instanz sei ein reformatorischer Antrag nicht erforderlich. In diesem Fall werde ein reformatorisches Urteil, das einen reformatorischen Antrag erfordere, gerade nicht gefällt. Die Frage, ob ein reformatorisches Begehren vorliege, stelle sich für die Rechtsmittelinstanz erst dann, wenn sie eine Heilung der Gehörsverletzung in Be- tracht ziehe, d.h. wenn sie selber reformatorisch entscheiden wolle (vgl. act. 122 E. 2.3.S. 7 f.). Das Obergericht – so das Bundesgericht weiter – habe lediglich abstrakt einige Ausführungen zu den Möglichkeiten der Heilung gemacht. Es habe sich aber nicht dazu geäussert, wie schwer die Gehörsverletzung wiege, und es habe auch nicht konkret festgehalten, dass es tatsächlich zu einer Heilung schreiten würde, wenn ein genügender Antrag vorliegen würde. Entsprechendes gelte für die festgestell- te Verletzung des Anspruchs auf eine öffentliche Verhandlung. Es stehe mithin noch gar nicht fest, ob die Berufung der Beschwerdeführerin (= Berufungskläge- rin) eines reformatorischen Antrags bedurft hätte (vgl. act. 122 E. 2.3. S. 8).</w:t>
      </w:r>
    </w:p>
    <w:p>
      <w:r>
        <w:rPr>
          <w:b/>
        </w:rPr>
        <w:t>E. 4</w:t>
      </w:r>
    </w:p>
    <w:p>
      <w:r>
        <w:t>Zur Behandlung der Rückweisung wurde ein neues Verfahren eröffnet (Ge- schäfts-Nr. NE170001). Mit der Aufhebung des Entscheids vom 24. Mai 2016 und der Rückweisung wurde das Verfahren in den Stand versetzt wie es vor der Ur-</w:t>
      </w:r>
    </w:p>
    <w:p>
      <w:r>
        <w:t>- 6 - teilsfällung war. Demzufolge wurde mit Verfügung vom 20. Februar 2017 der Be- rufungsbeklagten Frist zur Erstattung der Berufungsantwort angesetzt, die recht- zeitig erstattet wurde (vgl. act. 126-128). Sie stellt folgende Anträge (vgl. act. 128 S. 2): " 1. Die Berufung sei vollumfänglich abzuweisen, soweit darauf einzutreten ist; 2. Eventualiter: Die Kollokationsklage der Klägerin und Berufungsbeklagten vom</w:t>
      </w:r>
    </w:p>
    <w:p>
      <w:r>
        <w:rPr>
          <w:b/>
        </w:rPr>
        <w:t>E. 6</w:t>
      </w:r>
    </w:p>
    <w:p>
      <w:r>
        <w:t>Schriftliche Mitteilung an die Parteien, an die Berufungsklägerin unter Beila- ge eines Doppels von act. 128, sowie – unter Beilage der vorinstanzlichen Akten – an das Bezirksgericht Affoltern, und an die Obergerichtskasse je gegen Empfangsschein.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95'000.–. Die Beschwerde an das Bundesgericht hat keine aufschiebende Wirkung. Obergericht des Kantons Zürich II. Zivilkammer Die Gerichtsschreiberin: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