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NE140007 vom 7. Oktober 2014</w:t>
      </w:r>
    </w:p>
    <w:p>
      <w:r>
        <w:t>ZH Obergericht, 2014-10-07, DE</w:t>
      </w:r>
    </w:p>
    <w:p>
      <w:r>
        <w:rPr>
          <w:b/>
        </w:rPr>
        <w:t xml:space="preserve">Quelle: </w:t>
      </w:r>
      <w:r>
        <w:t>https://mcp.opencaselaw.ch/entscheid/zh_obergericht_NE140007</w:t>
      </w:r>
    </w:p>
    <w:p>
      <w:r>
        <w:t>FR: ZH_OBERGERICHT NE140007 du 7 octobre 2014</w:t>
      </w:r>
    </w:p>
    <w:p>
      <w:r>
        <w:t>IT: ZH_OBERGERICHT NE140007 del 7 ottobre 2014</w:t>
      </w:r>
    </w:p>
    <w:p>
      <w:pPr>
        <w:pStyle w:val="Heading2"/>
      </w:pPr>
      <w:r>
        <w:t>Erwägungen</w:t>
      </w:r>
    </w:p>
    <w:p>
      <w:r>
        <w:rPr>
          <w:b/>
        </w:rPr>
        <w:t>E. 1</w:t>
      </w:r>
    </w:p>
    <w:p>
      <w:r>
        <w:t>1.1 Mit Zahlungsbefehl Nr. … vom 4. April 2013 betrieb B._____ seinen Vater A._____ über Fr. 83'874.- nebst Zinsen. In Betreibung gesetzt wurden damit mo- natliche Unterhaltsbeiträge, geschuldet für die Zeit vom 1. April 2011 bis 30. April 2013. B._____ stützte sich auf ein Urteil vom 25. Juni 1997, mit dem die Ehe sei- ner Eltern geschieden und A._____ verpflichtet worden war, seiner Ex-Frau an den Unterhalt des Sohnes monatlich Fr. 3'000.- zuzüglich allfällige Kinderzulagen zu bezahlen. Festgehalten wurde im Urteil dazu weiter, dass "dieser Unterhalts- beitrag jedenfalls … nur solange geschuldet [ist], als B._____ noch nicht in die volle Erwerbsfähigkeit eingetreten ist. Vorbehalten bleibt Art. 277 Abs. 2 ZGB".</w:t>
      </w:r>
    </w:p>
    <w:p>
      <w:r>
        <w:rPr>
          <w:b/>
        </w:rPr>
        <w:t>E. 1.2</w:t>
      </w:r>
    </w:p>
    <w:p>
      <w:r>
        <w:t>B._____ absolvierte das Gymnasium und studierte zunächst in … vom Sep- tember 2005 bis August 2006 Wirtschaftswissenschaften. Danach wechselte er an die Universität …, an der er Medien- und Gesellschaftswissenschaften studier- te und im Juli 2010 mit dem Prädikat insigni cum laude den Bachelor of Arts er- warb. Ab dem Herbst 2010 absolvierte B._____ ein Masterstudium an der Univer- sität … . Dieses schloss er mit dem Master of Arts der Kultur- und Sozialwissen- schaftlichen Fakultät und dem Prädikat summa cum laude im Frühjahr 2013 ab. Das Diplom datiert vom 14. Juni 2013. Parallel zum Studium arbeitete B._____. Unbestritten geblieben ist, dass er einst für eine Gesellschaft der C._____ Gruppe tätig war (vgl. act. 9/1 S. 4 f. und dazu act. 9/15). In den Jahren 2011 bis 2013 war er in einem Teilzeitpensum für die D._____ AG tätig. Anerkannt ist zudem eine Tätigkeit/Beteiligung an der E._____ GmbH zwischen Juli 2006 und Januar 2014 (vgl. etwa act. 9/15 S. 5). A._____ stellte seine Unterhaltszahlungen an B._____ im Frühling 2011 ein. Ein Urteil, welches eine Änderung der im Scheidungsurteil festgelegten Unter- haltspflicht von A._____ für seinen Sohn zum Gegenstand hat, besteht nicht.</w:t>
      </w:r>
    </w:p>
    <w:p>
      <w:r>
        <w:rPr>
          <w:b/>
        </w:rPr>
        <w:t>E. 1.3</w:t>
      </w:r>
    </w:p>
    <w:p>
      <w:r>
        <w:t>Gegen den Zahlungsbefehl Nr. … vom 4. April 2013 erhob A._____ rechtzeitig Rechtsvorschlag, worauf B._____ am 15. Juli 2013 beim Bezirksgericht Horgen,</w:t>
      </w:r>
    </w:p>
    <w:p>
      <w:r>
        <w:t>- 3 - Einzelgericht, um definitive Rechtsöffnung ersuchte. Das Verfahren war Ende Ok- tober 2013 offenbar abgeschlossen (vgl. act. 9/3/2 S. 29). Mit Urteil vom 20. Mai 2014 wurde B._____ die definitive Rechtsöffnung erteilt, und zwar für Fr. 83'874.- nebst 5 % Zins seit 4. April 2013 und Kosten (vgl. act. 9/3/2, dort S. 17 f.).</w:t>
      </w:r>
    </w:p>
    <w:p>
      <w:r>
        <w:rPr>
          <w:b/>
        </w:rPr>
        <w:t>E. 2</w:t>
      </w:r>
    </w:p>
    <w:p>
      <w:r>
        <w:t>Am 8. Juli 2014 erhob A._____ (fortan: der Kläger) beim Bezirksgericht Horgen eine negative Feststellungsklage nach Art. 85a SchKG und stellte folgende Anträ- ge (vgl. act. 9/1 S. 2): 1. Es sei festzustellen, dass die mit Zahlungsbefehl vom 4. April 2013 beim Betreibungsamt Thalwil-Rüschlikon-Kilchberg in Betreibung ge- setzte Forderung des Beklagten über CHF 83'874 zzgl. Zins zu 5 % seit</w:t>
      </w:r>
    </w:p>
    <w:p>
      <w:r>
        <w:rPr>
          <w:b/>
        </w:rPr>
        <w:t>E. 3</w:t>
      </w:r>
    </w:p>
    <w:p>
      <w:r>
        <w:t>Es sei umgehend im Sinne einer vorsorglichen Massnahme anzuord- nen, die Betreibung Nr. … des Betreibungsamtes Thalwil-Rüschlikon- Kilchberg vorläufig einzustellen, und das Betreibungsamtes [recte: Be- treibungsamt] Thalwil-Rüschlikon-Kilchberg sei umgehend anzuweisen, die Betreibung Nr. … vorläufig einzustellen.</w:t>
      </w:r>
    </w:p>
    <w:p>
      <w:r>
        <w:rPr>
          <w:b/>
        </w:rPr>
        <w:t>E. 4</w:t>
      </w:r>
    </w:p>
    <w:p>
      <w:r>
        <w:t>Es sei das Betreibungsamt Thalwil anzuweisen, die Betreibung Nr. … des Betreibungsamtes Thalwil-Rüschlikon-Kilchberg zu löschen und Dritten von dieser Betreibung keine Kenntnis zu geben.</w:t>
      </w:r>
    </w:p>
    <w:p>
      <w:r>
        <w:rPr>
          <w:b/>
        </w:rPr>
        <w:t>E. 5</w:t>
      </w:r>
    </w:p>
    <w:p>
      <w:r>
        <w:t>Unter Kosten- und Entschädigungsfolgen zu Lasten des Beklagten. Am 23. Juli 2014 ordnete das Bezirksgericht, Einzelgericht, das schriftliche Verfahren an und setzte zugleich B._____ (fortan: der Beklagte) Frist zur Stel- lungnahme zum Gesuch des Klägers um Erlass vorsorglicher Massnahmen. Die Stellungnahme ging am 20. August 2014 beim Bezirksgericht ein, mit dem Antrag, das Gesuch abzuweisen. Am 27. August 2014 traf das Einzelgericht folgende Verfügung (vgl. act. 10 [= act. 5/3 = act. 17] S.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