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NE120001 vom 28. August 2012</w:t>
      </w:r>
    </w:p>
    <w:p>
      <w:r>
        <w:t>ZH Obergericht, 2012-08-28, DE</w:t>
      </w:r>
    </w:p>
    <w:p>
      <w:r>
        <w:rPr>
          <w:b/>
        </w:rPr>
        <w:t xml:space="preserve">Quelle: </w:t>
      </w:r>
      <w:r>
        <w:t>https://mcp.opencaselaw.ch/entscheid/zh_obergericht_NE120001</w:t>
      </w:r>
    </w:p>
    <w:p>
      <w:r>
        <w:t>FR: ZH_OBERGERICHT NE120001 du 28 août 2012</w:t>
      </w:r>
    </w:p>
    <w:p>
      <w:r>
        <w:t>IT: ZH_OBERGERICHT NE120001 del 28 agosto 2012</w:t>
      </w:r>
    </w:p>
    <w:p>
      <w:pPr>
        <w:pStyle w:val="Heading2"/>
      </w:pPr>
      <w:r>
        <w:t>Erwägungen</w:t>
      </w:r>
    </w:p>
    <w:p>
      <w:r>
        <w:rPr>
          <w:b/>
        </w:rPr>
        <w:t>E. 1</w:t>
      </w:r>
    </w:p>
    <w:p>
      <w:r>
        <w:t>Mit Verfügung vom 30. April 2010 erteilte der Einzelrichter im summari- schen Verfahren des Bezirkes Dielsdorf dem Beklagten und Berufungskläger</w:t>
      </w:r>
    </w:p>
    <w:p>
      <w:r>
        <w:t>- 4 - (fortan: Beklagter) in der Betreibung Nr. … des Betreibungsamtes C._____(heute D._____) definitive Rechtsöffnung für Fr. 50'000.– nebst Zinsen (Urk. 3/5/7). Mit Eingang vom 15. Juli 2011 erhob die Klägerin und Berufungsbeklagte (fortan: Klägerin) bei der Vorinstanz Klage auf Feststellung, dass die zur Pfän- dung anstehende Forderung des Beklagten von Fr. 52'833.75 getilgt sei und nicht mehr bestehe, weswegen auch die Betreibung aufzuheben sei. Gleichzeitig bean- tragte sie die vorläufige Einstellung der Betreibung. Zur Begründung führte sie an, dass diese Forderung durch Verrechnung einer ihr zustehenden Forderung von insgesamt Fr. 829'865.65 getilgt sei. Über diese zu verrechnenden Forderungen sind beim Bezirksgericht Zürich zwei Zivilprozesse hängig (CG090101 über Fr. 769'600.–, Klageeinleitung am 2. Juni 2009 und CG100256 über Fr. 60'265.65, Klageeinleitung am 2. Dezember 2010). Mit Verfügung vom 20. Juli 2011 wurde die einstweilige Einstellung dieser Betreibung superprovisorisch ver- fügt und dem Beklagten Frist zur Stellungnahme angesetzt. Am 19. Dezember 2011 entschied die Vorinstanz, dass die Betreibung vorläufig eingestellt bleibe. Ausserdem sistierte sie den Prozess einstweilen bis zur rechtskräftigen Erledi- gung der genannten Forderungsprozesse (Urk. 2). Der Beklagte hat gegen die einstweilige Einstellung der Betreibung unterm</w:t>
      </w:r>
    </w:p>
    <w:p>
      <w:r>
        <w:rPr>
          <w:b/>
        </w:rPr>
        <w:t>E. 6</w:t>
      </w:r>
    </w:p>
    <w:p>
      <w:r>
        <w:t>Eine Beschwerde gegen diesen Entscheid an das Bundesgericht ist innert 30 Tagen von der Zustellung an beim Schweizerischen Bundesgericht, 1000 Lausanne 14, einzureichen. Zulässigkeit und Form einer solchen Be-</w:t>
      </w:r>
    </w:p>
    <w:p>
      <w:r>
        <w:t>- 8 -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52'833.75. Die Beschwerde an das Bundesgericht hat keine aufschiebende Wirkung. Hinsichtlich des Fristenlaufs gelten die Art. 44 ff. BGG. Zürich, 28. August 2012 Obergericht des Kantons Zürich I. Zivilkammer Die Gerichtsschreiberin: Dr. D. Oser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