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LZ250017 vom 16. Juli 2025</w:t>
      </w:r>
    </w:p>
    <w:p>
      <w:r>
        <w:t>ZH Obergericht, 2025-07-16, DE</w:t>
      </w:r>
    </w:p>
    <w:p>
      <w:r>
        <w:rPr>
          <w:b/>
        </w:rPr>
        <w:t xml:space="preserve">Quelle: </w:t>
      </w:r>
      <w:r>
        <w:t>https://mcp.opencaselaw.ch/entscheid/zh_obergericht_LZ250017</w:t>
      </w:r>
    </w:p>
    <w:p>
      <w:r>
        <w:t>FR: ZH_OBERGERICHT LZ250017 du 16 juillet 2025</w:t>
      </w:r>
    </w:p>
    <w:p>
      <w:r>
        <w:t>IT: ZH_OBERGERICHT LZ250017 del 16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B._____,</w:t>
      </w:r>
    </w:p>
    <w:p>
      <w:r>
        <w:rPr>
          <w:b/>
        </w:rPr>
        <w:t>E. 2</w:t>
      </w:r>
    </w:p>
    <w:p>
      <w:r>
        <w:t>Es sei der Beklagte zu verpflichten, der Klägerin 1 für den Klä- ger 2 einen noch zu bestimmenden, monatlichen Kindesunter- haltsbeitrag (Bar- und Betreuungsunterhalt) von mind. Fr. 1.– zzgl. Kinderzulagen sowie Sozialversicherungsrenten zu bezah- len, zahlbar jeweils im Voraus auf den Ersten eines Monats. Die Unterhaltsbeiträge seien bis zum Abschluss einer angemes- senen Ausbildung zu bezahlen, auch über die Volljährigkeit hin- aus an die Klägerin 1, solange der Kläger 2 in deren Haushalt lebt und keine eigenen Ansprüche stellt bzw. keinen anderen Zah- lungsempfänger bezeichnet.</w:t>
      </w:r>
    </w:p>
    <w:p>
      <w:r>
        <w:rPr>
          <w:b/>
        </w:rPr>
        <w:t>E. 3</w:t>
      </w:r>
    </w:p>
    <w:p>
      <w:r>
        <w:t>Die Unterhaltsbeiträge gemäss Ziffer 2 vorstehend seien gerichts- üblich zu indexieren.</w:t>
      </w:r>
    </w:p>
    <w:p>
      <w:r>
        <w:rPr>
          <w:b/>
        </w:rPr>
        <w:t>E. 4</w:t>
      </w:r>
    </w:p>
    <w:p>
      <w:r>
        <w:t>Es seien die Grundlagen der Unterhaltsberechnung im Urteilsdis- positiv aufzunehmen.</w:t>
      </w:r>
    </w:p>
    <w:p>
      <w:r>
        <w:rPr>
          <w:b/>
        </w:rPr>
        <w:t>E. 5</w:t>
      </w:r>
    </w:p>
    <w:p>
      <w:r>
        <w:t>Der Antrag der Klägerin 1 auf Anordnung einer Kostentragungspflicht für ausserordentliche Bedürfnisse des Kindes wird abgewiesen.</w:t>
      </w:r>
    </w:p>
    <w:p>
      <w:r>
        <w:rPr>
          <w:b/>
        </w:rPr>
        <w:t>E. 6</w:t>
      </w:r>
    </w:p>
    <w:p>
      <w:r>
        <w:t>Diesem Urteil liegen die folgenden finanziellen Verhältnisse zugrunde: Einkommen netto pro Monat: - Klägerin 1: CHF 3'366.– IV-Rente und Ergänzungsleistungen - Beklagter: CHF 2'044.– IV-Rente und Ergänzungsleistungen - Kläger 2: CHF 987.– Familienzulagen sowie IV-Kinderrenten Kein für die Unterhaltsberechnung relevantes Vermögen.</w:t>
      </w:r>
    </w:p>
    <w:p>
      <w:r>
        <w:rPr>
          <w:b/>
        </w:rPr>
        <w:t>E. 7</w:t>
      </w:r>
    </w:p>
    <w:p>
      <w:r>
        <w:t>Die Entscheidgebühr wird festgesetzt auf: CHF 4'500.– die weiteren Gerichtskosten betragen CHF 9'679.50 Kosten für die Kindsvertretung</w:t>
      </w:r>
    </w:p>
    <w:p>
      <w:r>
        <w:rPr>
          <w:b/>
        </w:rPr>
        <w:t>E. 8</w:t>
      </w:r>
    </w:p>
    <w:p>
      <w:r>
        <w:t>Die Kosten werden der Klägerin 1 und dem Beklagten je zur Hälfte auferlegt, jedoch zufolge Gewährung der unentgeltlichen Rechtspflege einstweilen auf die Gerichtskasse genommen. Die Klägerin 2 und der Beklagte werden auf die Nachzahlungspflicht gemäss Art. 123 ZPO hingewiesen.</w:t>
      </w:r>
    </w:p>
    <w:p>
      <w:r>
        <w:rPr>
          <w:b/>
        </w:rPr>
        <w:t>E. 9</w:t>
      </w:r>
    </w:p>
    <w:p>
      <w:r>
        <w:t>Es werden keine Parteientschädigungen zugesprochen.</w:t>
      </w:r>
    </w:p>
    <w:p>
      <w:r>
        <w:rPr>
          <w:b/>
        </w:rPr>
        <w:t>E. 10</w:t>
      </w:r>
    </w:p>
    <w:p>
      <w:r>
        <w:t>Die Kindesvertreterin, Rechtsanwältin lic. iur. X2._____, wird für ihre Bemü- hungen und Auslagen mit CHF 9'679.50 (inkl. MwSt.) aus der Gerichtskasse entschädigt.</w:t>
      </w:r>
    </w:p>
    <w:p>
      <w:r>
        <w:rPr>
          <w:b/>
        </w:rPr>
        <w:t>E. 11</w:t>
      </w:r>
    </w:p>
    <w:p>
      <w:r>
        <w:t>[Schriftliche Mitteilung]</w:t>
      </w:r>
    </w:p>
    <w:p>
      <w:r>
        <w:rPr>
          <w:b/>
        </w:rPr>
        <w:t>E. 12</w:t>
      </w:r>
    </w:p>
    <w:p>
      <w:r>
        <w:t>[Rechtsmittel] Berufungsanträge: des Beklagten und Berufungsklägers (Urk. 133 S. 1): "1. Die neue Übergangsregelung zu überarbeiten und gerecht einzu- teilen 2. Den Kindsunterhalt abzuweisen, ohne rückwirkende Zahlung"</w:t>
      </w:r>
    </w:p>
    <w:p>
      <w:r>
        <w:t>- 10 - Prozessuale Anträge: des Beklagten und Berufungsklägers (Urk. 133 S. 1): "3. Antrag auf unentgeltliche Rechtspflege" der Klägerin und Berufungsbeklagten 1 (Prot. II S. 4 sinngemäss; Urk. 144): Es sei der Berufungsbeklagten 1 die unentgeltliche Rechtspflege zu be- willigen und ihr in der Person von Rechtsanwalt lic. iur. X1._____ ein unentgeltlicher Rechtsbeistand zu bestellen.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