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LZ240031 vom 16. Oktober 2024</w:t>
      </w:r>
    </w:p>
    <w:p>
      <w:r>
        <w:t>ZH Obergericht, 2024-10-16, DE</w:t>
      </w:r>
    </w:p>
    <w:p>
      <w:r>
        <w:rPr>
          <w:b/>
        </w:rPr>
        <w:t xml:space="preserve">Quelle: </w:t>
      </w:r>
      <w:r>
        <w:t>https://mcp.opencaselaw.ch/entscheid/zh_obergericht_LZ240031</w:t>
      </w:r>
    </w:p>
    <w:p>
      <w:r>
        <w:t>FR: ZH_OBERGERICHT LZ240031 du 16 octobre 2024</w:t>
      </w:r>
    </w:p>
    <w:p>
      <w:r>
        <w:t>IT: ZH_OBERGERICHT LZ240031 del 16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Klägerin und Berufungsklägerin (fortan Klägerin), gesetzlich vertre- ten durch ihre Mutter, reichte am 21. Februar 2023 beim Friedensrichteramt der Stadt Zürich, Kreise … + … ein Schlichtungsgesuch ein mit dem Rechtsbegehren, der Beklagte und Berufungsbeklagte (fortan Beklagte) sei zu verpflichten, ihr ei- nen indexierten Unterhalt bis zum 18. Lebensjahr oder bis zum Abschluss einer Erstausbildung zu bezahlen (Urk. 1). Anlässlich der Schlichtungsverhandlung vom</w:t>
      </w:r>
    </w:p>
    <w:p>
      <w:r>
        <w:rPr>
          <w:b/>
        </w:rPr>
        <w:t>E. 4</w:t>
      </w:r>
    </w:p>
    <w:p>
      <w:r>
        <w:t>Auf die Erhebung von Gerichtskosten für das Berufungsverfahrens ist um- ständehalber zu verzichten. Mangels wesentlicher Umtriebe ist dem Beklagten keine Parteientschädigung zuzusprechen (vgl. Art. 95 Abs. 3 ZPO). Die Klägerin ihrerseits hat als unterliegende Partei keinen Anspruch auf Parteientschädigung (vgl.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