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LZ240024 vom 29. November 2024</w:t>
      </w:r>
    </w:p>
    <w:p>
      <w:r>
        <w:t>ZH Obergericht, 2024-11-29, DE</w:t>
      </w:r>
    </w:p>
    <w:p>
      <w:r>
        <w:rPr>
          <w:b/>
        </w:rPr>
        <w:t xml:space="preserve">Quelle: </w:t>
      </w:r>
      <w:r>
        <w:t>https://mcp.opencaselaw.ch/entscheid/zh_obergericht_LZ240024</w:t>
      </w:r>
    </w:p>
    <w:p>
      <w:r>
        <w:t>FR: ZH_OBERGERICHT LZ240024 du 29 novembre 2024</w:t>
      </w:r>
    </w:p>
    <w:p>
      <w:r>
        <w:t>IT: ZH_OBERGERICHT LZ240024 del 29 novembre 2024</w:t>
      </w:r>
    </w:p>
    <w:p>
      <w:pPr>
        <w:pStyle w:val="Heading2"/>
      </w:pPr>
      <w:r>
        <w:t>Erwägungen</w:t>
      </w:r>
    </w:p>
    <w:p>
      <w:r>
        <w:rPr>
          <w:b/>
        </w:rPr>
        <w:t>E. 1</w:t>
      </w:r>
    </w:p>
    <w:p>
      <w:r>
        <w:t>Die Klägerin und der Beklagte sind die unverheirateten Eltern von D._____, geboren am tt.mm.2011, und C._____, geboren am tt.mm.2014. D._____ und</w:t>
      </w:r>
    </w:p>
    <w:p>
      <w:r>
        <w:t>- 17 - C._____ stehen unter der gemeinsamen elterlichen Sorge der Parteien (vgl. Urk. 50 E. III.2).</w:t>
      </w:r>
    </w:p>
    <w:p>
      <w:r>
        <w:rPr>
          <w:b/>
        </w:rPr>
        <w:t>E. 2</w:t>
      </w:r>
    </w:p>
    <w:p>
      <w:r>
        <w:t>Mit Eingabe vom 14. Februar 2023 machte die Klägerin unter Beilage der Kla- gebewilligung des Friedensrichteramtes F._____ vom 9. Februar 2023 die Klage betreffend Unterhalt und weitere Kinderbelange bei der Vorinstanz hängig (Urk. 1 und Urk. 3). Der erstinstanzliche Prozessverlauf kann den Erwägungen des ange- fochtenen Entscheids entnommen werden (Urk. 50 E. I.1 ff.), der am 10. April 2024 erging.</w:t>
      </w:r>
    </w:p>
    <w:p>
      <w:r>
        <w:rPr>
          <w:b/>
        </w:rPr>
        <w:t>E. 3</w:t>
      </w:r>
    </w:p>
    <w:p>
      <w:r>
        <w:t>Ziff. 7 des Urteils des Bezirksgerichts Dielsdorf vom 10. April 2024 (FK230003-D) sei wie folgt zu ändern: "(...) Ab Wegzug nach Deutschland: Für D._____: Fr. 400.– Für C._____: Fr. 400.– (...)"</w:t>
      </w:r>
    </w:p>
    <w:p>
      <w:r>
        <w:rPr>
          <w:b/>
        </w:rPr>
        <w:t>E. 4</w:t>
      </w:r>
    </w:p>
    <w:p>
      <w:r>
        <w:t>Es sei festzustellen, dass bei der Klägerin je Fr. 150.– Betreuungskosten für die Betreuung in Deutschland im Bedarf angerechnet werden.</w:t>
      </w:r>
    </w:p>
    <w:p>
      <w:r>
        <w:rPr>
          <w:b/>
        </w:rPr>
        <w:t>E. 5</w:t>
      </w:r>
    </w:p>
    <w:p>
      <w:r>
        <w:t>Ziff. 11 des Urteils des Bezirksgerichts Dielsdorf vom 10. April 2024 (FK230003-D) sei wie folgt zu ergänzen: "Ab Wegzug des Beklagten nach Deutschland sind die Erziehungsgutschriften vollumfänglich der Klägerin gutzuschreiben."</w:t>
      </w:r>
    </w:p>
    <w:p>
      <w:r>
        <w:rPr>
          <w:b/>
        </w:rPr>
        <w:t>E. 6</w:t>
      </w:r>
    </w:p>
    <w:p>
      <w:r>
        <w:t>Die Klägerin verpflichtet sich, die noch ausstehenden Unterhaltsbeiträge für die Kinder von Fr. 13'832.– (Juni 2023 bis September 2024) in monatlichen Raten von von CHF 300.– ab dem 1. Dezember 2024 bzw. Fr. 700.– ab dem Wegzug nach Deutschland, jeweils auf den Ersten eines Monats, abzubezahlen. Sollte die Rate bis zum 15. des jeweiligen Monats nicht bezahlt sein, wird der Restbetrag zum Zeitpunkt des Verzugs unmittelbar wieder fällig.</w:t>
      </w:r>
    </w:p>
    <w:p>
      <w:r>
        <w:rPr>
          <w:b/>
        </w:rPr>
        <w:t>E. 7</w:t>
      </w:r>
    </w:p>
    <w:p>
      <w:r>
        <w:t>Die Klägerin übergibt dem Beklagten umgehend, spätestens jedoch 10 Tage nach Rechtskraft des Urteils des Obergerichts, die Pässe der Kinder. Für Ferienbesuche bei der Klägerin gibt der Beklagte den Kindern die erforderlichen Reisedo- kumente mit.</w:t>
      </w:r>
    </w:p>
    <w:p>
      <w:r>
        <w:rPr>
          <w:b/>
        </w:rPr>
        <w:t>E. 8</w:t>
      </w:r>
    </w:p>
    <w:p>
      <w:r>
        <w:t>Der Beklagte verpflichtet sich, den Betreibungsregistereintrag in der Betreibung gegen die Klä- gerin innert 10 Tagen nach Rechtskraft des Urteils des Obergerichts löschen zu lassen.</w:t>
      </w:r>
    </w:p>
    <w:p>
      <w:r>
        <w:t>- 19 -</w:t>
      </w:r>
    </w:p>
    <w:p>
      <w:r>
        <w:rPr>
          <w:b/>
        </w:rPr>
        <w:t>E. 9</w:t>
      </w:r>
    </w:p>
    <w:p>
      <w:r>
        <w:t>Die Parteien vereinbaren in Bezug auf die Parteientschädigung gemäss dem erstinstanzlichen Urteil, dass die Klägerin dem Beklagten innert 30 Tagen nach Rechtskraft des obergerichtli- chen Urteils Fr. 2'000.– bezahlt. Bei fristgerechter Zahlung verzichtet der Beklagte auf den Restbetrag von CHF 1'600.–. Bei nicht fristgerechter Bezahlung bleibt die gerichtlich festge- setzte Parteientschädigung von Fr. 3'600.– bestehen.</w:t>
      </w:r>
    </w:p>
    <w:p>
      <w:r>
        <w:rPr>
          <w:b/>
        </w:rPr>
        <w:t>E. 10</w:t>
      </w:r>
    </w:p>
    <w:p>
      <w:r>
        <w:t>Die Kosten des Berufungsverfahrens übernehmen die Parteien je zur Hälfte. Zudem verzichten die Parteien im Berufungsverfahren gegenseitig auf eine Parteientschädigung.</w:t>
      </w:r>
    </w:p>
    <w:p>
      <w:r>
        <w:rPr>
          <w:b/>
        </w:rPr>
        <w:t>E. 11</w:t>
      </w:r>
    </w:p>
    <w:p>
      <w:r>
        <w:t>Januar 2024 E. 3.3.1). Zudem erlaubt der Umzugstermin es D._____ und C._____ auch, das angebrochene Schuljahr in der Schweiz zu beenden. 2. Die Klägerin rügt zu Recht, dass die Vorinstanz ihr keine Besuchsrechtskos- ten im Bedarf eingesetzt hat (Urk. 49 S. 15). Die Kosten zur Ausübung des Be- suchsrechts sind im erweiterten Bedarf zu berücksichtigen (BGE 147 III 265 E. 7.2).</w:t>
      </w:r>
    </w:p>
    <w:p>
      <w:r>
        <w:t>- 21 - Die Klägerin trägt ihre eigenen Flugkosten und jene der Kinder. Zusätzlich wird sie für eine Unterkunft während des Besuchswochenendes in Deutschland besorgt sein müssen. Vor diesem Hintergrund ist es angezeigt, im Bedarf der Klägerin die vereinbarungsgemässen Betreuungskosten von Fr. 150.– pro Kind, mithin total Fr. 300.– anzurechnen (Urk. 64 Ziffer 4 und Urk. 67). Der durch die Vorinstanz be- rechnete Bedarf von Fr. 1'925.– (vgl. Urk. 50 E. III.7.5) steigt somit auf Fr. 2'225.–. Mit ihrem (hypothetischen) Einkommen von Fr. 3'382.– (vgl. Urk. 50 E. III.7.3.4) vermag sie Fr. 800.– Kinderunterhalt zu zahlen und es verbleibt ihr ein Überschuss von Fr. 357.–. Es ist zu anerkennen, dass sich der finanziell stärkere Beklagte ne- ben dem Naturalunterhalt auch am Kinderunterhalt beteiligen und der Klägerin ei- nen Überschuss belassen möchte, sodass der Klägerin und den Kindern während ihrer Betreuungszeit ebenfalls entgeltliche Freizeitaktivitäten offenstehen. Der ver- einbarte Kinderunterhalt von je Fr. 400.– für D._____ und C._____ ab dem Wegzug nach Deutschland entspricht den finanziellen Verhältnissen der Parteien. Auch die in Ziffer 6 der Vereinbarung getroffene Zahlungsmodalität über die noch ausste- henden Kinderunterhaltsbeiträge ist nicht zu beanstanden. Die Erziehungsgut- schriften nach dem Umzug des Beklagten vollumfänglich der Klägerin anzurech- nen, stimmt mit Art. 52fbis Abs. 4 AHVV i.V.m. Art. 52f Abs. 4 AHVV und Art. 1 ff. AHVG überein. 3. Die zwischen den Parteien gefundene Regelung betreffend die Reisedoku- mente der Kinder erscheint sinnvoll, zumal dem Beklagten als Inhaber der alleini- gen Obhut die Pässe der Kinder im Alltag zur Verfügung stehen und der Klägerin während ihren Ferienbesuchen auch Auslandsreisen ermöglicht werden. 4. Nach dem Erwogenen erweist sich die Vereinbarung in Bezug auf die Kinder- belange als individuell passende Lösung, die das Kindeswohl von D._____ und C._____ ohne Weiteres wahrt. Sie ist genehmigungsfähig, wovon auch der Kinder- vertreter mit seiner Zustimmung zur Vereinbarung ausgeht (Urk. 67 und Urk. 69). IV. Kosten- und Entschädigungsfolgen 1. Die erstinstanzlichen Kosten- und Entschädigungsfolgen (Urk. 50 Dispositiv- Ziffern 12 bis 14) sind nach dem diesbezüglichen Rückzug der Berufung (Urk. 64</w:t>
      </w:r>
    </w:p>
    <w:p>
      <w:r>
        <w:t>- 22 - Ziffer 11) zu bestätigen. Von den Zahlungskonditionen der Parteien (Urk. 64 Zif- fer 9) ist Vormerk zu nehmen. 2. Die Entscheidgebühr für das Berufungsverfahren ist unter Berücksichtigung der vergleichsweisen Erledigung in Anwendung von § 12 Abs. 1 und Abs. 2 i.V.m. § 2, § 5 und § 10 GebV OG auf Fr. 3'000.– festzusetzen. Hinzu kommen die Dol- metscherkosten von Fr. 435.– (Art. 95 Abs. 2 lit. d ZPO und Urk. 56) sowie die Kos- ten für die Vertretung der Kinder (Art. 95 Abs. 2 lit. e ZPO). Deren Bemessung ist bundesrechtlich nicht geregelt. Vielmehr setzen die Kantone die Tarife fest (Art. 96 ZPO). Rechtsgrundlage für die Festsetzung der Entschädigung für die anwaltliche Kindervertretung ist im Kanton Zürich die Anwaltsgebührenverordnung (§ 1 Anw- GebV; BGE 142 III 153 E. 5.3.4.2). Das vom Kindervertreter geltend gemachte Ho- norar von Fr. 2'874.15.– (inkl. 8.1 % Mehrwertsteuer und Fr. 27.60 für Barauslagen; Urk. 70) wurde von den Parteien nicht beanstandet und erweist sich als angemes- sen. Da es sich um Gerichtskosten handelt, ist der Kindervertreter direkt aus der Gerichtskasse zu entschädigen (BK ZPO-Sterchi, Art. 95 N 10c). Die Gerichtskos- ten sind den Parteien vereinbarungsgemäss je zur Hälfte aufzuerlegen und mit dem klägerischen Kostenvorschuss von Fr. 6'000.– (Urk. 52) zu verrechnen. Der Be- klagte ist zu verpflichten, der Klägerin ihren geleisteten Kostenvorschuss im Um- fang von Fr. 3'000.– zu ersetzen. Der Mehrbetrag von Fr. 309.15 ist von den Par- teien je hälftig einzufordern. Zufolge des gegenseitigen Verzichts (Urk. 64 Ziffer 10) sind für das zweitinstanzliche Verfahren keine Parteientschädigungen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