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LZ230049 vom 19. August 2024</w:t>
      </w:r>
    </w:p>
    <w:p>
      <w:r>
        <w:t>ZH Obergericht, 2024-08-19, DE</w:t>
      </w:r>
    </w:p>
    <w:p>
      <w:r>
        <w:rPr>
          <w:b/>
        </w:rPr>
        <w:t xml:space="preserve">Quelle: </w:t>
      </w:r>
      <w:r>
        <w:t>https://mcp.opencaselaw.ch/entscheid/zh_obergericht_LZ230049</w:t>
      </w:r>
    </w:p>
    <w:p>
      <w:r>
        <w:t>FR: ZH_OBERGERICHT LZ230049 du 19 août 2024</w:t>
      </w:r>
    </w:p>
    <w:p>
      <w:r>
        <w:t>IT: ZH_OBERGERICHT LZ230049 del 19 agosto 2024</w:t>
      </w:r>
    </w:p>
    <w:p>
      <w:pPr>
        <w:pStyle w:val="Heading2"/>
      </w:pPr>
      <w:r>
        <w:t>Erwägungen</w:t>
      </w:r>
    </w:p>
    <w:p>
      <w:r>
        <w:rPr>
          <w:b/>
        </w:rPr>
        <w:t>E. 1</w:t>
      </w:r>
    </w:p>
    <w:p>
      <w:r>
        <w:t>Die Klägerin 2 und Berufungsbeklagte 2 (fortan Klägerin) und der Beklagte und Berufungskläger (fortan Beklagter) sind die unverheirateten Eltern des Klä- gers 1 und Berufungsbeklagten 1, geboren am tt.mm.2021 (fortan B._____;</w:t>
      </w:r>
    </w:p>
    <w:p>
      <w:r>
        <w:t>- 4 - Urk. 6/7/1-3). Sie trennten sich Ende des Jahres 2022. Die Parteien versuchten sich ausserbehördlich zu einigen, was nicht gelang, worauf sie eine Elternberatung bei D._____, Fachstelle Elternschaft und Unterhalt, in Anspruch nahmen (Urk. 1 Rz. 12, Urk. 6/17/1, Urk. 6/16 Rz. 4, Urk. 6/25 Rz. 3 und Urk. 6/27 Rz. 9). Nachdem der Beklagte angekündigt hatte, bei der Kindes- und Erwachsenenschutzbehörde der Stadt Zürich (fortan KESB) einen Antrag auf Betreuungsregelung zu stellen, stoppte D._____ die Beratung per 22. März 2023 (Urk. 6/17/3 S. 1). In der Folge wandte sich zunächst die Klägerin und schliesslich auch der Beklagte an die KESB (Urk. 6/7/6-7 und Urk 6/7/10). Diese erteilte dem Sozialzentrum E._____ einen Ab- klärungsauftrag (Urk. 6/7/9). Noch vor Vorliegen des Abklärungsberichts orientierte die Klägerin die KESB darüber, dass sie betreffend Unterhalt ans Gericht gelangen wolle. Sie ersuchte um Ausstellung eines Schreibens der KESB, dass keine Eini- gung bei der Fachstelle Elternschaft und Unterhalt habe gefunden werden können (Urk. 6/7/16). Ein solches Schreiben stellte die KESB nach Rücksprache mit D._____ am 7. Juni 2023 aus (Urk. 6/3/2 = Urk. 6/7/18 und Urk. 6/7/17).</w:t>
      </w:r>
    </w:p>
    <w:p>
      <w:r>
        <w:rPr>
          <w:b/>
        </w:rPr>
        <w:t>E. 1.1</w:t>
      </w:r>
    </w:p>
    <w:p>
      <w:r>
        <w:t>Gemäss Vorinstanz weise die KESB mit Schreiben vom 7. Juni 2023 aus, dass sich die Parteien bezüglich der Regelung der Betreuungsanteile nicht hätten einigen können und somit auch keine Unterhaltsvereinbarung für B._____ habe ab- geschlossen werden können. Die KESB berufe sich dabei auf die Rückmeldung der Fachstelle Elternschaft und Unterhalt, die offensichtlich in delegierter Weise Ver- mittlungsversuche vornehme. Entsprechend sei die Klägerin dahingehend belehrt worden, dass sie sich für eine formelle Regelung des Unterhalts an das zuständige Bezirksgericht unter Beilage dieses Schreibens zu wenden habe, wobei auf Art. 198 lit. bbis ZPO verwiesen werde (Urk. 2 E. II.3.1).</w:t>
      </w:r>
    </w:p>
    <w:p>
      <w:r>
        <w:rPr>
          <w:b/>
        </w:rPr>
        <w:t>E. 1.2</w:t>
      </w:r>
    </w:p>
    <w:p>
      <w:r>
        <w:t>Der Beklagte rügt, dass eine Delegation der KESB an die Fachstelle Eltern- schaft und Unterhalt nur erfolgen könne, wenn bereits ein KESB-Verfahren hängig sei (Urk. 1 Rz. 29). Es sei erstellt, dass das strittige KESB-Verfahren erst am 24. März 2023 von der Klägerin eingeleitet worden sei und damit nachdem die frei- willigen Beratungsgespräche in Bezug auf die Betreuungsregelung nicht gefruchtet hätten (Urk. 1 Rz. 31). Die KESB habe die Parteien bis zur Ausstellung der Klage- bewilligung (und auch danach) nie zu einem Vermittlungsgespräch aufgefordert (Urk. 1 Rz. 22). Angesichts des geforderten minimalen Vermittlungselements der Behörde reiche es gerade nicht aus, wenn einzig auf eine dem KESB-Verfahren vorgelagerte, freiwillige Elternberatung bzw. deren Ergebnis abgestellt und gestützt darauf eine angebliche fehlende (Unterhalts-)Einigung in einem (einseitig herbei- geführten und damit nicht mehr freiwilligen) Schlichtungsverfahren antizipiert werde (Urk. 1 Rz. 23).</w:t>
      </w:r>
    </w:p>
    <w:p>
      <w:r>
        <w:rPr>
          <w:b/>
        </w:rPr>
        <w:t>E. 1.3</w:t>
      </w:r>
    </w:p>
    <w:p>
      <w:r>
        <w:t>Das Schlichtungsverfahren entfällt bei Klagen über den Unterhalt des Kindes und weitere Kinderbelange, wenn vor der Klage ein Elternteil die Kindesschutzbe- hörde angerufen hat (Art. 198 lit. bbis ZPO). Wie die Klägerin zutreffend ausführte (Urk. 9 Rz. 11), entschied die hiesige Kammer, dass im Unterhaltspunkt ein Schlichtungsverfahren nicht erforderlich ist, wenn diesbezüglich bereits ein Vermitt- lungsversuch bei der KESB oder einer anderen Fachstelle stattgefunden hat (OGer</w:t>
      </w:r>
    </w:p>
    <w:p>
      <w:r>
        <w:t>- 7 - ZH LZ190010 vom 05.09.2019, E. IV.1.3). Auch Zogg vertritt die Ansicht, dass eine Vermittlungstätigkeit einer der KESB unter- oder nebengeordneten Behörde oder Fachstelle dem Ausnahmetatbestand von Art. 198 lit. bbis ZPO genügen müsse. Solche Stellen würden im Sinne dieses Artikels als «Kindesschutzbehörde» han- deln (Selbständige Unterhaltsklagen mit Annexentscheid über die weiteren Kinder- belange – verfahrensrechtliche Fragen, FamPra.ch 2019, S. 1-35, 7). Die Fach- stelle Elternschaft und Unterhalt ist als eine solche Fachstelle zu qualifizieren (vgl. Urk. 4/2 S. 1). Ob die Fachstelle freiwillig vor oder nach Einleitung des Verfahrens bei der KESB in deren Auftrag angerufen wird, kann für das Entfallen des Schlich- tungsobligatoriums nicht entscheidend sein. Mit dem im Rahmen der parlamentari- schen Beratung eingefügten Art. 198 lit. bbis ZPO sollten nämlich Doppelspurigkei- ten von Schlichtungsversuchen vermieden werden (noch weitergehend die ZPO- Revision, mit der Streitigkeiten über den Unterhalt des Kindes und weitere Kinder- belange generell vom Schlichtungsobligatorium ausgenommen werden; BBl 2020 2697, 2753 f.). Die durch den Beklagten geforderte Differenzierung würde zu ei- nem, nach der Intention des Gesetzgebers zu vermeidenden, formalistischen Leer- laufe führen. Überdies wird aus den Rechtsschriften des Beklagten deutlich, dass er einer Einigung keine ernsthaften Chancen mehr beimass: Die zwei ausserbe- hördlichen und sämtliche Einigungsbestrebungen von D._____ seien aufgrund der renitenten Weigerungshaltung der Klägerin gescheitert (Urk. 6/25 Rz. 6 f.) bzw. es habe trotz mehrerer freiwilliger Beratungsgespräche mit verschiedenen Fachper- sonen aufgrund des anhaltenden Elternkonflikts über Monate keine Lösung gefun- den werden können (Urk. 1 Rz. 37). 2. Keine Thematisierung des Unterhalts bei der Fachstelle Elternschaft und Unterhalt</w:t>
      </w:r>
    </w:p>
    <w:p>
      <w:r>
        <w:rPr>
          <w:b/>
        </w:rPr>
        <w:t>E. 2</w:t>
      </w:r>
    </w:p>
    <w:p>
      <w:r>
        <w:t>Mit Eingabe vom 17. August 2023 machte die Klägerin das Verfahren bei der Vorinstanz unter Beilage des erwähnten Schreibens der KESB hängig (Urk. 6/1 und Urk. 6/3/2). Hinsichtlich des Prozessverlaufs vor Vorinstanz kann auf die angefoch- tene Verfügung vom 14. Dezember 2023 verwiesen werden (Urk. 2 E. I).</w:t>
      </w:r>
    </w:p>
    <w:p>
      <w:r>
        <w:rPr>
          <w:b/>
        </w:rPr>
        <w:t>E. 2.1</w:t>
      </w:r>
    </w:p>
    <w:p>
      <w:r>
        <w:t>Die Entscheidgebühr für das Berufungsverfahren ist gestützt auf § 12 Abs. 1 und 2 in Verbindung mit § 2 und § 5 GebV OG auf Fr. 2'000.– festzusetzen. Hinzu kommen die Kosten der Vertretung des Kindes in der Höhe von Fr. 775.– (Urk. 24; Art. 95 Abs. 2 lit. e ZPO).</w:t>
      </w:r>
    </w:p>
    <w:p>
      <w:r>
        <w:rPr>
          <w:b/>
        </w:rPr>
        <w:t>E. 2.2</w:t>
      </w:r>
    </w:p>
    <w:p>
      <w:r>
        <w:t>Gemäss ständiger Praxis der Kammer sind die Kosten des Verfahrens in Be- zug auf Kinderbelange (mit Ausnahme der Kinderunterhaltsbeiträge) unabhängig vom Ausgang des Verfahrens dem Beklagten und der Klägerin je zur Hälfte aufzu- erlegen und die Parteientschädigungen wettzuschlagen, sofern sie unter dem Ge- sichtspunkt des Kindsinteresses gute Gründe zur Antragstellung hatten (vgl. OGer ZH LZ200002 vom 30.12.2020, E. IV.1.3.). Nachdem der Beklagte der Klä- gerin vor Vorinstanz mehrfach vorwarf, den damaligen Zuständigkeitswechsel von der KESB zur Vorinstanz bloss zwecks zeitlicher Verzögerung herbeigeführt zu ha- ben (Urk. 6/16 Rz. 23 f. sowie Urk. 6/25 Rz. 12 f., Rz. 43 und Rz. 49), torpediert</w:t>
      </w:r>
    </w:p>
    <w:p>
      <w:r>
        <w:t>- 11 - nun er einen im Kindsinteresse liegenden beförderlichen Verfahrensgang mit seiner funktionalen Zuständigkeitsfrage und der diesbezüglich erhobenen Berufung. Mit der Kindsvertreterin ist davon auszugehen, dass die Berufung nicht im Interesse von B._____ liegt (Urk. 13). Die Gerichtskosten sind daher ausgangsgemäss dem Beklagten aufzuerlegen (Art. 106 Abs. 1 ZPO) und mit dem von ihm geleisteten Kostenvorschuss von Fr. 2'000.– (Urk. 7) zu verrechnen (Art. 111 Abs. 1 ZPO).</w:t>
      </w:r>
    </w:p>
    <w:p>
      <w:r>
        <w:rPr>
          <w:b/>
        </w:rPr>
        <w:t>E. 2.3</w:t>
      </w:r>
    </w:p>
    <w:p>
      <w:r>
        <w:t>Als unterliegende Partei ist der Beklagte zu verpflichten, der Klägerin für das Berufungsverfahren eine Parteientschädigung zu bezahlen. In Anwendung von § 2, § 5, § 10 Abs. 1 lit. a, § 11 Abs. 1 bis Abs. 3 und § 13 AnwGebV erscheint eine Parteientschädigung von Fr. 1'800.– zuzüglich 8.1 % Mehrwertsteuer, mithin von insgesamt Fr. 1'945.80 angemessen.</w:t>
      </w:r>
    </w:p>
    <w:p>
      <w:r>
        <w:rPr>
          <w:b/>
        </w:rPr>
        <w:t>E. 2.4</w:t>
      </w:r>
    </w:p>
    <w:p>
      <w:r>
        <w:t>Da der Klägerin keine Gerichtskosten auferlegt werden und ihr eine angemes- sene Parteientschädigung zugesprochen wird (vgl. E. V.2.2 und E. V.2.3), die ein- bringlich erscheint (vgl. Urk. 6/26/23), ist ihr Gesuch um Gewährung der unentgelt- lichen Rechtspflege und Rechtsverbeiständung zufolge Gegenstandslosigkeit ab- zuschreiben (OGer ZH RT220206 vom 04.05.2023, E. III.3.2; OGer ZH LE200034 vom 28.10.2020, E. IV.3.3.). Es wird beschlossen: 1. Das Gesuch der Klägerin 2 um Gewährung der unentgeltlichen Rechtspflege und Rechtsverbeiständung wird abgeschrieben. 2. Schriftliche Mitteilung und Rechtsmittelbelehrung mit nachfolgendem Erkennt- nis. Es wird erkannt: 1. Die Berufung wird abgewiesen und Satz 1 der Dispositiv-Ziffer 1 sowie die Dispositiv-Ziffer 2 werden bestätigt. 2. Die Entscheidgebühr für das Berufungsverfahren wird festgesetzt auf:</w:t>
      </w:r>
    </w:p>
    <w:p>
      <w:r>
        <w:t>- 12 - Fr. 2'000.00 ; die weiteren Auslagen betragen: Fr. 775.00 Honorar Kindsvertreterin Fr. 2'775.00 Total 3. Rechtsanwältin lic. iur. Y1._____ wird für ihre Bemühungen und Barausla- gen als Kindsvertreterin für das Berufungsverfahren mit Fr. 775.– aus der Gerichtskasse entschädigt.</w:t>
      </w:r>
    </w:p>
    <w:p>
      <w:r>
        <w:rPr>
          <w:b/>
        </w:rPr>
        <w:t>E. 3</w:t>
      </w:r>
    </w:p>
    <w:p>
      <w:r>
        <w:t>Gegen diese erhob der Beklagte mit Eingabe vom 21. Dezember 2023 frist- gerecht Berufung, stellte die eingangs wiedergegebenen Anträge und ersuchte um aufschiebende Wirkung der Berufung, soweit sie sich auf die (mangelnde) Zustän- digkeit der Vorinstanz zur Beurteilung des Gesuchs um Erlass vorsorglicher Mass- nahmen der Klägerin vom 16. November 2023 beziehe (Urk. 1 und Urk. 6/39/2; Art. 311 Abs. 1 ZPO). Mit Verfügung vom 22. Dezember 2023 wurde auf das Ge- such um Erteilung der aufschiebenden Wirkung nicht eingetreten und dem Beklag- ten Frist zur Leistung eines Kostenvorschusses von Fr. 2'000.– angesetzt (Urk. 5 Dispositiv-Ziffern 1 und 2). Dieser ging innert Frist ein (angehefteter Rückschein zu Urk. 5 und Urk. 7), worauf der Klägerin und der Kindsvertreterin mit Verfügung vom 2. Februar 2024 Frist angesetzt wurde, um Berufungsantworten einzureichen (Urk. 8). Nach Eingang der rechtzeitig erfolgten Berufungsantworten (angeheftete</w:t>
      </w:r>
    </w:p>
    <w:p>
      <w:r>
        <w:t>- 5 - Empfangsscheine zu Urk. 8, Urk. 9 und Urk. 13) wurden diese dem Beklagten so- wie der Klägerin und Kindsvertreterin je gegenseitig zur Kenntnisnahme zugestellt (Urk. 14). Der Beklagte und die Klägerin liessen sich je noch einmal vernehmen (Urk. 15 und Urk. 20).</w:t>
      </w:r>
    </w:p>
    <w:p>
      <w:r>
        <w:rPr>
          <w:b/>
        </w:rPr>
        <w:t>E. 4</w:t>
      </w:r>
    </w:p>
    <w:p>
      <w:r>
        <w:t>Die Gerichtskosten für das zweitinstanzliche Verfahren werden dem Beklag- ten auferlegt und mit seinem Kostenvorschuss von Fr. 2'000.– verrechnet.</w:t>
      </w:r>
    </w:p>
    <w:p>
      <w:r>
        <w:rPr>
          <w:b/>
        </w:rPr>
        <w:t>E. 5</w:t>
      </w:r>
    </w:p>
    <w:p>
      <w:r>
        <w:t>Der Beklagte wird verpflichtet, der Klägerin 2 für das zweitinstanzliche Ver- fahren eine Parteientschädigung von Fr. 1'945.80 zu bezahlen.</w:t>
      </w:r>
    </w:p>
    <w:p>
      <w:r>
        <w:rPr>
          <w:b/>
        </w:rPr>
        <w:t>E. 6</w:t>
      </w:r>
    </w:p>
    <w:p>
      <w:r>
        <w:t>Schriftliche Mitteilung an die Parteien, die Vorinstanz und die Obergerichts- 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w:t>
      </w:r>
    </w:p>
    <w:p>
      <w:r>
        <w:t>- 13 - Zürich, 19. August 2024 Obergericht des Kantons Zürich I. Zivilkammer Der Vorsitzende: Die Gerichtsschreiberin: lic. iur. A. Huizinga MLaw I. Aeberhard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