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LZ210019 vom 13. Dezember 2021</w:t>
      </w:r>
    </w:p>
    <w:p>
      <w:r>
        <w:t>ZH Obergericht, 2021-12-13, DE</w:t>
      </w:r>
    </w:p>
    <w:p>
      <w:r>
        <w:rPr>
          <w:b/>
        </w:rPr>
        <w:t xml:space="preserve">Quelle: </w:t>
      </w:r>
      <w:r>
        <w:t>https://mcp.opencaselaw.ch/entscheid/zh_obergericht_LZ210019</w:t>
      </w:r>
    </w:p>
    <w:p>
      <w:r>
        <w:t>FR: ZH_OBERGERICHT LZ210019 du 13 décembre 2021</w:t>
      </w:r>
    </w:p>
    <w:p>
      <w:r>
        <w:t>IT: ZH_OBERGERICHT LZ210019 del 13 dicembre 2021</w:t>
      </w:r>
    </w:p>
    <w:p>
      <w:pPr>
        <w:pStyle w:val="Heading2"/>
      </w:pPr>
      <w:r>
        <w:t>Erwägungen</w:t>
      </w:r>
    </w:p>
    <w:p>
      <w:r>
        <w:rPr>
          <w:b/>
        </w:rPr>
        <w:t>E. 1</w:t>
      </w:r>
    </w:p>
    <w:p>
      <w:r>
        <w:t>Sachverhalt und Prozessgeschichte</w:t>
      </w:r>
    </w:p>
    <w:p>
      <w:r>
        <w:rPr>
          <w:b/>
        </w:rPr>
        <w:t>E. 1.1</w:t>
      </w:r>
    </w:p>
    <w:p>
      <w:r>
        <w:t>Die Parteien sind die unverheirateten Eltern von C._____, geboren tt.mm.2017, und D._____, geboren tt.mm.2019. Die Beklagte und Berufungsklä- gerin (nachfolgend: Beklagte) ist zudem Mutter der aus einer mittlerweile ge- schiedenen Ehe entstammenden Tochter E._____, geboren tt.mm.2011 (Urk. 2 S. 6). Nachdem die Parteien den gemeinsamen Haushalt aufgelöst hatten, wurden der Kinderunterhalt und die weiteren Kinderbelange mit Urteil des Einzelgerichts im vereinfachten Verfahren am Bezirksgericht Zürich, 2. Abteilung, vom 25. Mai 2020 geregelt (Urk. 5/4/1).</w:t>
      </w:r>
    </w:p>
    <w:p>
      <w:r>
        <w:rPr>
          <w:b/>
        </w:rPr>
        <w:t>E. 1.2</w:t>
      </w:r>
    </w:p>
    <w:p>
      <w:r>
        <w:t>Am 10. Mai 2021 machte der Kläger und Berufungsbeklagte (nachfolgend: Kläger) eine Klage auf Abänderung des Urteils vom 25. Mai 2020 mit den vorste- hend genannten vorsorglichen Massnahmebegehren anhängig (Urk. 5/2). Der weitere Prozessverlauf vor erster Instanz kann der eingangs im Dispositiv wieder- gegebenen und am 13. Juli 2021 erlassenen angefochtenen Verfügung entnom- men werden (Urk. 2 S. 9 ff.).</w:t>
      </w:r>
    </w:p>
    <w:p>
      <w:r>
        <w:rPr>
          <w:b/>
        </w:rPr>
        <w:t>E. 1.3</w:t>
      </w:r>
    </w:p>
    <w:p>
      <w:r>
        <w:t>Nachdem die Beklagte mit Eingabe vom 21. Juli 2021 innert Frist (Prot. VI S. 46) Berufung mit den obgenannten Rechtsbegehren erhoben hatte (Urk. 1), wurde ihr Gesuch um Erteilung der aufschiebenden Wirkung mit Verfügung vom 23. Juli 2021 abgewiesen (Urk. 4). Die Parteien und die Kindsvertreterin wurden in der Folge mit Vorladung vom 13. Oktober 2021 auf den 10. November 2021 zu einer Vergleichsverhandlung vorgeladen (Urk. 12) und dem Kläger sowie den Ver- fahrensbeteiligten wurde die Berufungsschrift mit Verfügung vom 11. Oktober 2021 ohne Fristansetzung zugestellt (Urk. 11). Anlässlich der Vergleichsverhand- lung schlossen die Parteien und die Verfahrensbeteiligten unter Mitwirkung des Gerichtsschreibers (Prot. S. 7 f.) eine Vereinbarung mit nachfolgendem Inhalt (Urk. 17): "1. Die Parteien beantragen, es sei die Obhut für die Kinder C._____, geboren am tt.mm.2017, und D._____, geboren am tt.mm.2019, für die Dauer des Verfahrens dem Kläger zuzuteilen.</w:t>
      </w:r>
    </w:p>
    <w:p>
      <w:r>
        <w:t>- 11 -</w:t>
      </w:r>
    </w:p>
    <w:p>
      <w:r>
        <w:rPr>
          <w:b/>
        </w:rPr>
        <w:t>E. 1.4</w:t>
      </w:r>
    </w:p>
    <w:p>
      <w:r>
        <w:t>Die Kindsvertreterin reichte in der Folge ihre Honorarnote für das Beru- fungsverfahren ein (Urk. 19), welche den Parteien mit Verfügung vom 15. No- vember 2021 zur Kenntnisnahme gebracht wurde (Urk. 20), zu welcher sie sich indes nicht mehr vernehmen liessen. 2. Prozessuales</w:t>
      </w:r>
    </w:p>
    <w:p>
      <w:r>
        <w:rPr>
          <w:b/>
        </w:rPr>
        <w:t>E. 2</w:t>
      </w:r>
    </w:p>
    <w:p>
      <w:r>
        <w:t>Besuchsrecht Die Beklagte ist berechtigt und verpflichtet, die Kinder für die Dauer des Verfahrens wie folgt mit sich oder zu sich auf Besuch zu nehmen: – an jedem zweiten Wochenende (ungerade Woche) jeweils ab Freitagmittag (D._____ wird pünktlich um 13.00 Uhr von der Beklagten in der Kita abgeholt und C._____ um 13.30 Uhr im Hort) bis Sonntagabend, 17.00 Uhr (Übernahme der Kinder durch den Kläger am Wohnort der Beklagten); – in Wochen mit gerader Wochenzahl jeweils ab Freitagmittag (D._____ wird pünktlich um 13.00 Uhr von der Beklagten in der Kita abgeholt und C._____ um 13.30 Uhr im Hort) bis Freitagabend, 17.30 Uhr (Übergabe der Kinder durch die Beklagte am Woh- nort des Klägers); – in den Schulferien (Weihnachtsferien ausgenommen) während fünf Wochen (maximal drei Wochen am Stück); – während der zweiten Weihnachtsferienwoche (frühestens ab 27. Dezember), inkl. Sil- vester und Neujahr. Solange auch E._____ jedes zweite Wochenende von ihrem Vater betreut wird, ist das Wochenendbesuchsrecht der Beklagten mit C._____ und D._____ an jenen Wochenen- den auszuüben, an denen auch E._____ bei der Beklagten ist. Andernfalls findet das Be- suchswochenende der Beklagten an jedem zweiten Wochenende in Wochen mit ungera- der Zahl statt. Fällt das Besuchswochenende der Beklagten auf Ostern, beginnt ihre Betreuungsverant- wortung bereits ab Gründonnerstag, 17.00 Uhr, und dauert bis Ostermontag, 17.00 Uhr. Fällt das Besuchswochenende der Kindsmutter auf Pfingsten, verlängert sich ihre Betreu- ungsverantwortung bis Pfingstmontag, 17.00 Uhr. In der übrigen Zeit werden die Kinder vom Kläger betreut.</w:t>
      </w:r>
    </w:p>
    <w:p>
      <w:r>
        <w:rPr>
          <w:b/>
        </w:rPr>
        <w:t>E. 2.1</w:t>
      </w:r>
    </w:p>
    <w:p>
      <w:r>
        <w:t>Die Berufung hemmt die Rechtskraft des angefochtenen Entscheids im Um- fang der Anträge (Art. 315 Abs. 1 ZPO). Vorweg ist daher festzustellen, dass die vorinstanzliche Verfügung in den nicht angefochtenen Dispositiv-Ziffern 1 und 9 in Rechtskraft erwachsen ist.</w:t>
      </w:r>
    </w:p>
    <w:p>
      <w:r>
        <w:rPr>
          <w:b/>
        </w:rPr>
        <w:t>E. 2.2</w:t>
      </w:r>
    </w:p>
    <w:p>
      <w:r>
        <w:t>Gegenstand des vorliegenden Berufungsverfahrens sind die Zuteilung der Obhut und die Betreuungsregelung für die gemeinsamen Kinder. Für alle Kinder- belange in familienrechtlichen Angelegenheiten gilt uneingeschränkt die Untersu- chungs- und Offizialmaxime (Art. 296 Abs. 1 und 3 ZPO). Der von den Parteien getroffenen Vereinbarung kommt deshalb nur der Charakter eines übereinstim- menden Parteiantrags zu (vgl. BGer 5A_1031/2019 vom 26. Juni 2020, E. 2.2 mit weiteren Hinweisen). Weil von den Parteien getragene Lösungen regelmässig besser reüssieren als autoritative Anordnungen, soll das Gericht sich nicht ohne ernsthaften Grund über eine Regelung hinwegsetzen, welche die Zustimmung beider Eltern geniesst, wobei stets zu prüfen ist, ob mit der Vereinbarung das Kindeswohl gewahrt wird (BGE 143 III 361 E. 7.3.1). 3. Prüfung der Vereinbarung vom 10. November 2021</w:t>
      </w:r>
    </w:p>
    <w:p>
      <w:r>
        <w:rPr>
          <w:b/>
        </w:rPr>
        <w:t>E. 3</w:t>
      </w:r>
    </w:p>
    <w:p>
      <w:r>
        <w:t>Die Parteien beantragen, es sei die für die Kinder errichtete Beistandschaft im Sinne von Art. 308 Abs. 1 und 2 ZGB fortzuführen. Der Beistandsperson seien die folgenden Aufga- ben zu übertragen:</w:t>
      </w:r>
    </w:p>
    <w:p>
      <w:r>
        <w:t>- 12 - − die Eltern hinsichtlich der Erziehung und Pflege der Kinder zu begleiten und zu fördern sowie ihnen mit Rat und Tat beizustehen, auch hinsichtlich finanzieller Angelegenhei- ten die Kinder betreffend, − die Eltern in Bezug auf die Umsetzung und Einhaltung der angeordneten Besuchsrege- lung zu unterstützen und auch organisatorische Vorkehren für die Übergaben der Kin- der zwischen den Eltern zu treffen und, wenn nötig, begleitete Übergaben anzuordnen und zu organisieren, − Förderung der Kommunikationsfähigkeit der Eltern in Bezug auf die Kinderbelange, z.B. durch Moderation von gemeinsamen Gesprächen mit den Eltern, − zwischen den Eltern bei Konflikten, welche die Kinderbelange betreffen, zu vermitteln, − die Beklagte bei der Umsetzung der an sie erteilten Weisung (Inanspruchnahme und Fortführung psychologischer Betreuung) zu unterstützen und deren Einhaltung zu überwachen, − das Gericht über sämtliche Umständen zu informieren, welche in Zusammenhang mit dem Kindeswohl stehen.</w:t>
      </w:r>
    </w:p>
    <w:p>
      <w:r>
        <w:rPr>
          <w:b/>
        </w:rPr>
        <w:t>E. 3.1</w:t>
      </w:r>
    </w:p>
    <w:p>
      <w:r>
        <w:t>Die von den Parteien beantragte Zuteilung der alleinigen Obhut über die Kinder an den Kläger (Urk. 17 Ziffer 1) entspricht dem Wohl der Kinder, zumal verschiedentlich Probleme mit der vormals geltenden alternierenden Obhut aus den Akten hervorgehen (vgl. u. a. Urk. 36) und der Kläger die für eine harmoni- sche Entwicklung der Kinder notwendige Stabilität gewährleisten kann (vgl. Urk. 2 S. 30).</w:t>
      </w:r>
    </w:p>
    <w:p>
      <w:r>
        <w:rPr>
          <w:b/>
        </w:rPr>
        <w:t>E. 3.2</w:t>
      </w:r>
    </w:p>
    <w:p>
      <w:r>
        <w:t>Abweichend von dem in der angefochtenen Verfügung festgelegten Be- suchsrecht sieht die von den Parteien vereinbarte Lösung einen wöchentlichen</w:t>
      </w:r>
    </w:p>
    <w:p>
      <w:r>
        <w:t>- 14 - Kontakt zwischen der Beklagten und den Kindern vor (Urk. 17 Ziffer 2). Dies er- scheint dem Kindeswohl dienlich und mit den Kapazitäten der Beklagten verein- bar. Es ist davon auszugehen, dass die Kinder von diesen regelmässigen Kontak- ten profitieren werden und der Konflikt zwischen den Parteien durch die klar gere- gelte zusätzliche persönliche Übergabe nicht weiter geschürt wird. Auch die vor- gesehene Ferien- und Feiertagsregelung (Urk. 17 Ziffer 2) ist dem Kindeswohls zuträglich, zumal vorgesehen ist, dass die Kinder mit beiden Elternteilen Ferien und gewisse Feiertage verbringen können und dadurch eine intensive Beziehung zu beiden Eltern gelebt werden kann. Zu ergänzen ist die Ferienregelung einzig mit einem im Streitfall zum Zuge kommenden Wahlrecht, welches drei Monate im Voraus wahrzunehmen ist und der Beklagten analog der vormals geltenden Re- gelung (Urk. 5/4/1 S. 5) in den Jahren mit ungerader Jahreszahl und dem Kläger in den Jahren mit gerader Jahreszahl zukommen soll.</w:t>
      </w:r>
    </w:p>
    <w:p>
      <w:r>
        <w:rPr>
          <w:b/>
        </w:rPr>
        <w:t>E. 3.3</w:t>
      </w:r>
    </w:p>
    <w:p>
      <w:r>
        <w:t>Ferner erweisen sich die Anpassungen der Kompetenzen der Beiständin angesichts des vereinbarten Besuchsrechts als zweckmässig und zielführend (Urk. 17 Ziffer 3). Ebenso ist gegen die Regelung betreffend die Ausweisdoku- mente der Kinder und die damit zusammenhängende Aufhebung von Dispositiv- Ziffer 6 der angefochtenen Verfügung sowie gegen den Rückzug der weiteren Be- rufungsanträge (Urk. 17 Ziffer 6) nichts auszusetzen.</w:t>
      </w:r>
    </w:p>
    <w:p>
      <w:r>
        <w:rPr>
          <w:b/>
        </w:rPr>
        <w:t>E. 3.4</w:t>
      </w:r>
    </w:p>
    <w:p>
      <w:r>
        <w:t>Nach dem Gesagten erfordert das Kindeswohl sowohl in Bezug auf die Ob- hut und das Besuchsrecht als auch hinsichtlich der weiteren Kinderbelange keine von der Vereinbarung der Parteien abweichende Regelung und diese Vereinba- rung kann genehmigt bzw. es können die entsprechenden autoritativen Anord- nungen getroffen werden. 4. Kosten- und Entschädigungsfolgen</w:t>
      </w:r>
    </w:p>
    <w:p>
      <w:r>
        <w:rPr>
          <w:b/>
        </w:rPr>
        <w:t>E. 4</w:t>
      </w:r>
    </w:p>
    <w:p>
      <w:r>
        <w:t>Die Parteien beantragen, die Dispositiv-Ziffer 6 der Verfügung des Einzelgerichts im ver- einfachten Verfahren am Bezirksgericht Zürich, 2. Abteilung, vom 13. Juli 2021 (FK210060-L) sei ersatzlos aufzuheben.</w:t>
      </w:r>
    </w:p>
    <w:p>
      <w:r>
        <w:rPr>
          <w:b/>
        </w:rPr>
        <w:t>E. 4.1</w:t>
      </w:r>
    </w:p>
    <w:p>
      <w:r>
        <w:t>Die Gerichtsgebühr für das Berufungsverfahren ist unter Berücksichtigung der durchgeführten Vergleichsverhandlung sowie der vergleichsweisen Erledi- gung des Verfahrens gestützt auf § 12 Abs. 1 und Abs. 2 in Verbindung mit § 5 Abs. 1, § 8 Abs. 1 und § 10 Abs. 1 GebV OG auf Fr. 2'000.– festzusetzen. Zu- sammen mit den Kosten für die Kindsvertreterin (vgl. Art. 95 Abs. 2 lit. e ZPO),</w:t>
      </w:r>
    </w:p>
    <w:p>
      <w:r>
        <w:t>- 15 - welche antragsgemäss mit Fr. 1'381.90, zuzüglich Fr. 106.40 (Mehrwertsteuer zu</w:t>
      </w:r>
    </w:p>
    <w:p>
      <w:r>
        <w:rPr>
          <w:b/>
        </w:rPr>
        <w:t>E. 4.2</w:t>
      </w:r>
    </w:p>
    <w:p>
      <w:r>
        <w:t>Infolge gegenseitigen Verzichts sind für das zweitinstanzliche Verfahren kei- ne Parteientschädigungen zuzusprechen (Urk. 17 Ziffer 7).</w:t>
      </w:r>
    </w:p>
    <w:p>
      <w:r>
        <w:rPr>
          <w:b/>
        </w:rPr>
        <w:t>E. 4.3</w:t>
      </w:r>
    </w:p>
    <w:p>
      <w:r>
        <w:t>Unentgeltliche Rechtspflege Das Gesuch der Beklagten um unentgeltliche Rechtspflege ist gutzuheissen, zu- mal sie von der Sozialhilfe unterstützt wird (Urk. 54/2), weder über eigene Ein- künfte noch über liquide Vermögenswerte verfügt (Urk. 54/3) und ihre Mittellosig- keit im Sinne von Art. 117 lit. a ZPO demnach offensichtlich ist. Das Verfahren erweist sich im Übrigen auch nicht als aussichtslos und die Beklagte ist zur Wah- rung ihrer Rechte auf die Unterstützung einer Rechtsbeiständin angewiesen. Die der Beklagten auferlegten Gerichtskosten sind demnach auf die Gerichtskasse zu nehmen, ihr ist Rechtsanwältin MLaw X._____ als unentgeltliche Rechtsbeistän- din zu bestellen und sie ist auf das Nachforderungsrecht des Staates gemäss Art. 123 ZPO hinzuweisen. Es wird beschlossen:</w:t>
      </w:r>
    </w:p>
    <w:p>
      <w:r>
        <w:rPr>
          <w:b/>
        </w:rPr>
        <w:t>E. 5</w:t>
      </w:r>
    </w:p>
    <w:p>
      <w:r>
        <w:t>Die Parteien vereinbaren, dass die Pässe der Kinder bei der Beklagten und deren ID- Karten beim Kläger sind. Die Beklagte verpflichtet sich, die Pässe bei Bedarf dem Kläger auf erstes Verlangen hin herauszugeben. Der Kläger verpflichtet sich, bei Bezug der Päs- se, die ID-Karten der Kinder der Beklagten im Austausch zu übergeben. Die Parteien ge- ben sich gegenseitig, sofern erforderlich, das Einverständnis für Reisen und händigen sich die weiteren für die Reise notwendigen Dokumente aus.</w:t>
      </w:r>
    </w:p>
    <w:p>
      <w:r>
        <w:rPr>
          <w:b/>
        </w:rPr>
        <w:t>E. 6</w:t>
      </w:r>
    </w:p>
    <w:p>
      <w:r>
        <w:t>Im Übrigen zieht die Beklagte ihre Berufungsanträge hinsichtlich Dispositiv-Ziffer 4 und 5 zurück.</w:t>
      </w:r>
    </w:p>
    <w:p>
      <w:r>
        <w:rPr>
          <w:b/>
        </w:rPr>
        <w:t>E. 7</w:t>
      </w:r>
    </w:p>
    <w:p>
      <w:r>
        <w:t>Die Parteien übernehmen die Gerichtskosten des Berufungsverfahrens je zur Hälfte und verzichten gegenseitig auf eine Parteientschädigung."</w:t>
      </w:r>
    </w:p>
    <w:p>
      <w:r>
        <w:t>- 13 -</w:t>
      </w:r>
    </w:p>
    <w:p>
      <w:r>
        <w:rPr>
          <w:b/>
        </w:rPr>
        <w:t>E. 7.7</w:t>
      </w:r>
    </w:p>
    <w:p>
      <w:r>
        <w:t>%), mithin mit total Fr. 1'488.30 aus der Gerichtskasse zu entschädigen ist (Urk. 19), und den Kosten für die Übersetzung von Fr. 457.50 (Urk. 18; Art. 95 Abs. 2 lit. d ZPO) belaufen sich die Gerichtskosten des zweitinstanzlichen Verfah- rens auf total Fr. 3'945.80. Sie sind den Parteien vereinbarungsgemäss je zur Hälfte aufzuerlegen (Urk. 17 Ziffer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