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LZ200006 vom 18. Mai 2020</w:t>
      </w:r>
    </w:p>
    <w:p>
      <w:r>
        <w:t>ZH Obergericht, 2020-05-18, DE</w:t>
      </w:r>
    </w:p>
    <w:p>
      <w:r>
        <w:rPr>
          <w:b/>
        </w:rPr>
        <w:t xml:space="preserve">Quelle: </w:t>
      </w:r>
      <w:r>
        <w:t>https://mcp.opencaselaw.ch/entscheid/zh_obergericht_LZ200006</w:t>
      </w:r>
    </w:p>
    <w:p>
      <w:r>
        <w:t>FR: ZH_OBERGERICHT LZ200006 du 18 mai 2020</w:t>
      </w:r>
    </w:p>
    <w:p>
      <w:r>
        <w:t>IT: ZH_OBERGERICHT LZ200006 del 18 maggio 2020</w:t>
      </w:r>
    </w:p>
    <w:p>
      <w:pPr>
        <w:pStyle w:val="Heading2"/>
      </w:pPr>
      <w:r>
        <w:t>Erwägungen</w:t>
      </w:r>
    </w:p>
    <w:p>
      <w:r>
        <w:rPr>
          <w:b/>
        </w:rPr>
        <w:t>E. 1</w:t>
      </w:r>
    </w:p>
    <w:p>
      <w:r>
        <w:t>Der Beklagte und Berufungsbeklagte (fortan Beklagter) und die Verfahrens- beteiligte und Berufungsklägerin 2 (fortan Verfahrensbeteiligte) sind die unverhei- rateten Eltern der Klägerin und Berufungsklägerin 1 (fortan Klägerin), geb. am tt.mm 2008. Mit Eingabe vom 12. März 2019 reichte die Klägerin vor Vorinstanz eine Klage auf Unterhalt und Regelung des persönlichen Verkehrs ein (Urk. 2). Für den weiteren Verlauf des erstinstanzlichen Verfahrens kann auf den ange- fochtenen Entscheid verwiesen werden (Urk. 77 E. 1 = Urk. 86 E. 1). Hervorzuhe- ben ist, dass die Parteien anlässlich der Hauptverhandlung vom 12. September 2019 eine Vereinbarung schlossen (Urk. 27). Nach durchgeführter Kinderanhö- rung der Klägerin (vgl. Prot. I S. 26 ff.) beantragten die Klägerin bzw. die Verfah- rensbeteiligte, damals noch vertreten durch Rechtsanwältin lic. iur. X2._____, mit Eingabe vom 30. Oktober 2019 (Urk. 38) die Nichtgenehmigung der Ziffern 1.2 und 2 der Vereinbarung vom 12. September 2019, während der Beklagte mit Ein- gabe vom 31. Oktober 2019 (Urk. 40) um Genehmigung der Vereinbarung er- suchte. Am 28. November 2019 fällte die Vorinstanz das eingangs wiedergege- bene, zunächst unbegründete Urteil (Urk. 52). Die begründete Fassung des Ent-</w:t>
      </w:r>
    </w:p>
    <w:p>
      <w:r>
        <w:t>- 8 - scheides (Urk. 77 = Urk. 86) wurde den Parteien am 21. Januar 2020 zugestellt (vgl. Urk. 79).</w:t>
      </w:r>
    </w:p>
    <w:p>
      <w:r>
        <w:rPr>
          <w:b/>
        </w:rPr>
        <w:t>E. 2</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w:t>
      </w:r>
    </w:p>
    <w:p>
      <w:r>
        <w:t>- 9 -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Art. 57 N 22). In diesem Rahmen ist insoweit auf die Parteivorbringen einzugehen, als dies für die Entscheidfindung erforderlich ist (BGE 134 I 83 E. 4.1 m.w.Hinw.).</w:t>
      </w:r>
    </w:p>
    <w:p>
      <w:r>
        <w:rPr>
          <w:b/>
        </w:rPr>
        <w:t>E. 2.1</w:t>
      </w:r>
    </w:p>
    <w:p>
      <w:r>
        <w:t>Die Höhe der Gerichtsgebühr richtet sich für das Berufungsverfahren nach § 12 Abs. 1 und 2 in Verbindung mit § 2 und § 5 Abs. 1 der Gebührenverordnung des Obergerichts vom 8. September 2010 (GebV OG). Unter Berücksichtigung des tatsächlichen Streitinteresses, des Zeitaufwands des Gerichts sowie der Schwierigkeit des Falles erscheint eine Gerichtsgebühr von Fr. 2'000.– angemes- sen.</w:t>
      </w:r>
    </w:p>
    <w:p>
      <w:r>
        <w:rPr>
          <w:b/>
        </w:rPr>
        <w:t>E. 2.2</w:t>
      </w:r>
    </w:p>
    <w:p>
      <w:r>
        <w:t>Die Prozesskosten werden den Parteien nach Massgabe ihres Unterliegens und Obsiegens auferlegt (Art. 106 ZPO), wobei nach Praxis der entscheidenden Kammer in Verfahren der vorliegenden Art Kindern keine Prozesskosten auferlegt werden (vgl. OGer ZH LZ190022 vom 20.11.2019, E. D.2). Die Verfahrensbetei- ligte unterliegt vollumfänglich, weshalb ihr die Kosten des Berufungsverfahrens aufzuerlegen sind (Art. 106 Abs. 1 ZPO).</w:t>
      </w:r>
    </w:p>
    <w:p>
      <w:r>
        <w:rPr>
          <w:b/>
        </w:rPr>
        <w:t>E. 2.3</w:t>
      </w:r>
    </w:p>
    <w:p>
      <w:r>
        <w:t>Als Folge der Kostenverteilung hat die Verfahrensbeteiligte den Beklagten für seine Aufwendungen im Berufungsverfahren zu entschädigen (Art. 106 Abs. 1 ZPO). In Anwendung der massgeblichen Bestimmungen (§ 2, § 5 Abs. 1, § 11</w:t>
      </w:r>
    </w:p>
    <w:p>
      <w:r>
        <w:t>- 16 - Abs. 1 und § 13 Abs. 1 und 2 der Verordnung über die Anwaltsgebühren vom</w:t>
      </w:r>
    </w:p>
    <w:p>
      <w:r>
        <w:rPr>
          <w:b/>
        </w:rPr>
        <w:t>E. 3</w:t>
      </w:r>
    </w:p>
    <w:p>
      <w:r>
        <w:t>Die Verfahrensbeteiligte macht im Berufungsverfahren neu geltend, die Si- tuation habe sich in den vergangenen vier Monaten verschärft. Das Verhältnis der Klägerin zum Beklagten habe sich merklich verschlechtert. Die Klägerin sehe den Beklagten ab und zu noch, habe aber seit drei Monaten nicht mehr bei ihm über- nachtet (Urk. 85 Rz. 17). Die Verfahrensbeteiligte beschränkt sich auf dieses unsubstantiierte Vorbringen und unterlässt es konkret darzutun, aus welchen Gründen sich die Beziehung der Klägerin zum Beklagten nunmehr in eine negative Richtung entwickelt haben und es zu einer massiven Reduktion der Kontakte gekommen sein soll. Gründe dafür sind denn auch nicht ersichtlich. Die Verfahrensbeteiligte selbst hob nämlich wäh- rend des gesamten vorinstanzlichen Verfahrens stets die guten Vaterqualitäten des Beklagten hervor (vgl. Urk. 2 S. 6; Urk. 24 S. 4; Prot. I S. 6) und führte auch noch an der Hauptverhandlung vom 12. September 2019 - wie im Übrigen auch der Beklagte (Prot. I S. 15) - aus, die Beziehung der Klägerin zum Beklagten sei sehr gut (Prot. I S. 21). Die im Schreiben von lic. phil. Z._____ vom 15. Januar 2020 (Urk. 89/17) - auf das die Verfahrensbeteiligte in Rz. 18 ihrer Berufungs- schrift (Urk. 85) verweist - wiedergegebenen Vorwürfe der Klägerin an die Adres- se des Beklagten, wonach sie sich von ihm kontrolliert fühle und nicht mehr zu ihm gehen wolle, u.a. weil er sie an den Ohren ziehe und sie am Arm festhalte, wenn sie nicht mache, was er von ihr verlange, wurden vom Beklagten - unter Hinweis auf eine entsprechende Beeinflussung der Klägerin durch die Verfah- rensbeteiligte - in Abrede gestellt (vgl. Urk. 95 Rz. 17.1). Es fällt sodann auf, da- hingehend ist mit dem Beklagten einig zu gehen, dass vor Vorinstanz weder von</w:t>
      </w:r>
    </w:p>
    <w:p>
      <w:r>
        <w:t>- 13 - der Verfahrensbeteiligten noch von der Klägerin (im Rahmen der nur knapp drei Monate zuvor erfolgten Kinderanhörung vom 23. Oktober 2019) derartige Vorhal- tungen gemacht wurden. Gegenüber den in diesem Schreiben festgehaltenen Ausführungen der Klägerin sind ohnehin Vorbehalte angebracht. Nicht nur geht aus dem Schreiben hervor, dass es auf Wunsch der Verfahrensbeteiligten zu Be- weiszwecken ("z.H. der Polizei") erstellt wurde; auch war die Verfahrensbeteiligte bei der entsprechenden Konsultation der Klägerin bei lic. phil. Z._____ zugege- gen, weshalb offen bleibt, inwieweit sich die Klägerin frei äusserte. Das Schreiben wurde zudem kurz nachdem den Parteien das unbegründete vorinstanzliche Urteil vom 28. November 2019 zugestellt (vgl. Urk. 53) und eine Begründung des Ent- scheides (vgl. Urk. 59) verlangt worden war, in Auftrag gegeben. Die im Schrei- ben von lic. phil. Z._____ aufgeführte Äusserung der Klägerin, sie sei vor der Ur- teilsverkündung nicht angehört worden, widerspricht im Übrigen schlicht den Tat- sachen, fand die Kinderanhörung doch bereits am 23. Oktober 2019 statt (vgl. Prot. I S. 26 ff.). Ausgeschlossen werden kann im Übrigen auch nicht, dass es sich bei solchen starken Willensbekundungen der Klägerin gegenüber Dritten bloss um sich aus Emotionen heraus ergebende momentane Empfindungen han- delt. So äusserte sich die Klägerin, wie aus der Verfügung des Kommunalen Poli- zeikorps des Kantons Zürich vom 29. August 2019 (Urk. 32 S. 3) hervorgeht, be- reits am 15. August 2019 gegenüber den involvierten Polizisten dahingehend, dass sie auf keinen Fall beim Beklagten bleiben wolle. Gleichwohl ergibt sich aus der ausführlichen Kinderanhörung vom 23. Oktober 2019 (Prot. I S. 26 ff.) eindeu- tig ihr ungetrübtes Verhältnis zum Beklagten und ihr Bedürfnis, viel Zeit mit ihm verbringen zu können.</w:t>
      </w:r>
    </w:p>
    <w:p>
      <w:r>
        <w:rPr>
          <w:b/>
        </w:rPr>
        <w:t>E. 3.1</w:t>
      </w:r>
    </w:p>
    <w:p>
      <w:r>
        <w:t>Die Verfahrensbeteiligte ersucht um Gewährung der unentgeltlichen Rechtspflege und um Bestellung eines unentgeltlichen Rechtsbeistands für das Berufungsverfahren (Urk. 85 S. 1). Nach Art. 117 ZPO hat eine Person Anspruch auf unentgeltliche Rechtspflege, wenn sie nicht über die erforderlichen Mittel verfügt (lit. a) und ihr Rechtsbegehren nicht aussichtslos erscheint (lit. b). Wer diese Bedingungen erfüllt, hat ausserdem Anspruch auf einen unentgeltlichen Rechtsbeistand, soweit dies zur Wahrung seiner Rechte notwendig ist (Art. 118 Abs. 1 lit. c ZPO). Da der Rechtsstandpunkt der Verfahrensbeteiligten als aussichtlos zu qualifizieren ist (vgl. vorstehende E. III) ist ihr Gesuch um Gewährung der unentgeltlichen Rechtspflege für das Be- rufungsverfahren abzuweisen (Art. 117 lit. b ZPO).</w:t>
      </w:r>
    </w:p>
    <w:p>
      <w:r>
        <w:rPr>
          <w:b/>
        </w:rPr>
        <w:t>E. 3.2</w:t>
      </w:r>
    </w:p>
    <w:p>
      <w:r>
        <w:t>Der Beklagte erneuert für das Berufungsverfahren ebenfalls sein Gesuch um unentgeltliche Rechtspflege und Rechtsverbeiständung (Urk. 95 S. 2). Die Gerichtskosten des vorliegenden Verfahrens werden vollumfänglich der Ver- fahrensbeteiligten auferlegt. Sodann wird die Verfahrensbeteiligte verpflichtet, dem Beklagten eine volle Parteientschädigung zu bezahlen (vgl. vorstehend</w:t>
      </w:r>
    </w:p>
    <w:p>
      <w:r>
        <w:t>- 17 - E. IV.2.3). Damit ist das Gesuch des Beklagten um unentgeltliche Prozessführung gegenstandslos und abzuschreiben (Art. 242 ZPO). Unter Hinweis auf Art. 122 Abs. 2 ZPO ist sein Gesuch um Bestellung von Rechtsanwältin lic. iur. Y._____ als unentgeltliche Rechtsbeiständin trotz zugesprochener voller Parteientschädi- gung zu behandeln (vgl. BGer 5A_407/2014 vom 7. Juli 2014, E. 2.2; OGer ZH RT150116 vom 11.11.2015, E. II.C.2). Angesichts seiner - nach wie vor beste- henden (vgl. Urk. 13) - Mittellosigkeit (vgl. Urk. 97/1-4) und der fehlenden Aus- sichtlosigkeit seiner Begehren und des Umstandes, dass nicht gesagt werden kann, die anwaltliche Vertretung sei zur Wahrung seiner Rechte nicht notwendig gewesen, zumal auch die Gegenseite anwaltlich vertreten ist, ist dem Beklagten auch für das Berufungsverfahren Rechtsanwältin lic. iur. Y._____ als unentgeltli- che Rechtsbeiständin zu bestellen. Es wird beschlossen:</w:t>
      </w:r>
    </w:p>
    <w:p>
      <w:r>
        <w:rPr>
          <w:b/>
        </w:rPr>
        <w:t>E. 4</w:t>
      </w:r>
    </w:p>
    <w:p>
      <w:r>
        <w:t>Vor diesem Hintergrund ist auch nicht ersichtlich, was im Rahmen einer - von der Verfahrensbeteiligten in Rz. 21 der Berufungsschrift (Urk. 85) thematisier- ten - erneuten Anhörung der Klägerin im jetzigen Verfahrensstadium an zusätzli- chen Erkenntnissen zu gewinnen wäre, zumal eine inquisitorische Befragung bei der Kinderanhörung nicht am Platz ist und diese im Grundsatz nur dann wieder- holt durchgeführt werden sollte, wenn es unumgänglich erscheint (vgl. BGE 134 III 88 E. 4; BGE 133 III 553 E. 4). Mit derselben Begründung ist auch von der Ein- holung eines kinderpsychologischen Gutachtens abzusehen.</w:t>
      </w:r>
    </w:p>
    <w:p>
      <w:r>
        <w:t>- 14 -</w:t>
      </w:r>
    </w:p>
    <w:p>
      <w:r>
        <w:rPr>
          <w:b/>
        </w:rPr>
        <w:t>E. 5</w:t>
      </w:r>
    </w:p>
    <w:p>
      <w:r>
        <w:t>Eine sachbezogene Auseinandersetzung mit den Entscheidgründen des erstinstanzlichen Urteils (vgl. E. II.2) lässt die Verfahrensbeteiligte auch vermis- sen, wenn sie in Rz. 23 f. der Berufungsschrift (Urk. 85) erneut ihre aktuellen Ar- beitszeiten vorträgt und auf deren Abänderbarkeit sowie auf das Angebot des Mit- tagstisches für die Klägerin hinweist (vgl. Urk. 2 S. 4 f.; Urk. 24 S. 2; Prot. I S. 21 f.). Genau damit hat sich die Vorinstanz nämlich befasst und ist zum Ergeb- nis gelangt, dass die von der Verfahrensbeteiligten begehrte Zuteilung der alleini- gen Obhut nicht dem Kindeswohl entspreche und nicht angeordnet werden kön- ne. Insbesondere, so die Vorinstanz, lasse sich eine alleinige Obhut nicht mit dem Arbeitspensum der Verfahrensbeteiligten von rund 80% (50% bei D._____ zzgl. 12-16 Stunden pro Woche bei E._____) vereinbaren, zumal die Arbeitstätigkeit nicht nur die Mittagszeiten, sondern auch Randstunden am Morgen (04:00 Uhr bis 08:00 Uhr) und Abend (18:00 Uhr bis 21:00 Uhr) betreffe, bei welchen eine Fremdbetreuung nicht möglich oder zumindest nicht dem Kindeswohl entspre- chend erscheine. Auch seien keine Gründe ersichtlich, welche es mit dem Kin- deswohl vereinbaren liessen, dass die Klägerin aus der bisher gelebten und stabi- len wechselnden Betreuung gerissen und einer alleinigen Obhut zugeführt werde (Urk. 77 E. 3.12). Damit hat es sein Bewenden.</w:t>
      </w:r>
    </w:p>
    <w:p>
      <w:r>
        <w:rPr>
          <w:b/>
        </w:rPr>
        <w:t>E. 6</w:t>
      </w:r>
    </w:p>
    <w:p>
      <w:r>
        <w:t>Nach dem Gesagten erweisen sich die Vorbringen in der Berufung hinsicht- lich der Betreuungsregelung als unbegründet. Demzufolge ist auch auf den An- trag der Verfahrensbeteiligten, der Beklagte habe ihr als Obhutsinhaberin die Kin- derrente von Fr. 1'119.- zu überweisen (Urk. 85 Berufungsantrag 4, Rz. 25), nicht weiter einzugehen. Da der Berufung ohnehin kein Erfolg beschieden ist, kann offen bleiben, ob Rechtsanwalt lic. iur. X1._____ im Berufungsverfahren auch die Klägerin recht- mässig in den weiteren Kinderbelangen (Obhut- respektive Betreuungsregelung) vertreten kann. Es bleibt darauf hinzuweisen, dass der in Rz. 21 der Berufungsan- twort (Urk. 95) erhobene Einwand des Beklagten, wonach Rechtsanwalt lic. iur. X1._____ aufgrund der offenkundigen Interessenkollision zwischen den Interes- sen der Klägerin und der Verfahrensbeteiligten bezüglich der Betreuung nicht bei- de vertreten könne, nicht von der Hand gewiesen werden kann (vgl. Art. 306 Abs.</w:t>
      </w:r>
    </w:p>
    <w:p>
      <w:r>
        <w:t>- 15 - 2 und 3 ZGB; Zogg, Selbständige Unterhaltsklagen mit Annexentscheid über die weiteren Kinderbelange - verfahrensrechtliche Fragen, in: FamPra.ch 2019, S. 27 f.; OGer ZH RU180014 vom 29. Mai 2018, E. 2.4 f.). Der in Rz. 11 der Berufungsschrift (Urk. 85) zitierte Entscheid des Bundesgerichtes (BGE 145 III 393) erweist sich für diese Fragestellung im Übrigen als nicht ein- schlägig, da darin die Interessenkollision in einem reinen Unterhaltsprozess be- sprochen wird. Allerdings wird diesem Umstand bei der Kostentragung Rechnung zu tragen sein.</w:t>
      </w:r>
    </w:p>
    <w:p>
      <w:r>
        <w:rPr>
          <w:b/>
        </w:rPr>
        <w:t>E. 7</w:t>
      </w:r>
    </w:p>
    <w:p>
      <w:r>
        <w:t>Die Berufung ist abzuweisen, soweit auf sie einzutreten ist, und Dispositiv- Ziffer 2 des angefochtenen Urteils ist, soweit nicht in Rechtskraft erwachsen, zu bestätigen. IV. 1. Ausgangsgemäss ist auch die erstinstanzliche Kosten- und Entschädigungs- regelung zu bestätigen (Urk. 77, Dispositiv-Ziffern 3-5).</w:t>
      </w:r>
    </w:p>
    <w:p>
      <w:r>
        <w:rPr>
          <w:b/>
        </w:rPr>
        <w:t>E. 8</w:t>
      </w:r>
    </w:p>
    <w:p>
      <w:r>
        <w:t>September 2010 [AnwGebV]) ist die Verfahrensbeteiligte zu verpflichten, dem Beklagten eine volle Parteientschädigung von Fr. 2'000.- zu bezahlen. Zusätzlich zur Parteientschädigung ist ein Mehrwertsteuerzusatz von 7.7%, Fr. 154.-, ge- schuldet (vgl. Urk. 95 S. 2). Die Parteientschädigung ist voraussichtlich unein- bringlich. Zwar prozessiert die Verfahrensbeteiligte vorliegend wegen Aussichts- losigkeit nicht im Armenrecht (vgl. sogleich nachfolgend E. IV.3.1), ihr wurde je- doch im vorinstanzlichen Verfahren die unentgeltliche Rechtspflege gewährt (Urk. 52, Dispositiv-Ziffer 1 der Verfügung) und aufgrund der im Berufungsverfah- ren ins Recht gelegten Unterlagen (vgl. insb. Urk. 89/3-9) ist erstellt, dass sich ih- re finanziellen Verhältnisse nicht verbessert haben. Deshalb ist die Parteient- schädigung der Rechtsvertreterin des Beklagten aus der Gerichtskasse zu bezah- len, unter Legalzession des Anspruchs gegenüber der Verfahrensbeteiligten auf den Kanton (vgl. Art. 122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