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LZ190023 vom 18. März 2020</w:t>
      </w:r>
    </w:p>
    <w:p>
      <w:r>
        <w:t>ZH Obergericht, 2020-03-18, DE</w:t>
      </w:r>
    </w:p>
    <w:p>
      <w:r>
        <w:rPr>
          <w:b/>
        </w:rPr>
        <w:t xml:space="preserve">Quelle: </w:t>
      </w:r>
      <w:r>
        <w:t>https://mcp.opencaselaw.ch/entscheid/zh_obergericht_LZ190023</w:t>
      </w:r>
    </w:p>
    <w:p>
      <w:r>
        <w:t>FR: ZH_OBERGERICHT LZ190023 du 18 mars 2020</w:t>
      </w:r>
    </w:p>
    <w:p>
      <w:r>
        <w:t>IT: ZH_OBERGERICHT LZ190023 del 18 marzo 2020</w:t>
      </w:r>
    </w:p>
    <w:p>
      <w:pPr>
        <w:pStyle w:val="Heading2"/>
      </w:pPr>
      <w:r>
        <w:t>Erwägungen</w:t>
      </w:r>
    </w:p>
    <w:p>
      <w:r>
        <w:rPr>
          <w:b/>
        </w:rPr>
        <w:t>E. 1</w:t>
      </w:r>
    </w:p>
    <w:p>
      <w:r>
        <w:t>Die Verfahrensbeteiligte und Berufungsklägerin (fortan Verfahrensbeteiligte) und der Beklagte und Berufungsbeklagte (fortan Beklagter) sind die unverheirate- ten Eltern von C._____ (Kläger), geboren am tt.mm.2017. Die Kindseltern trennten sich noch vor der Geburt von C._____ (Prot. I S. 20; Urk. 14/2 Rz. 5). C._____ lebt seit seiner Geburt im Haushalt der Verfahrensbeteiligten. Die Ver- fahrensbeteiligte hat aus einer früheren Beziehung ein weiteres Kind namens D._____ geboren am tt.mm.2005, welches ebenfalls in ihrem Haushalt lebt (vgl. Urk. 14/13/1).</w:t>
      </w:r>
    </w:p>
    <w:p>
      <w:r>
        <w:t>- 5 -</w:t>
      </w:r>
    </w:p>
    <w:p>
      <w:r>
        <w:rPr>
          <w:b/>
        </w:rPr>
        <w:t>E. 2</w:t>
      </w:r>
    </w:p>
    <w:p>
      <w:r>
        <w:t>Mit Eingabe vom 11. Juli 2018 machte der Kläger, dazumal vertreten durch die Kindsmutter sowie deren Rechtsvertreter, bei der Vorinstanz ein Verfahren be- treffend persönlichen Verkehr und Unterhalt anhängig (Urk. 14/2). Mit Verfügung vom 10. Dezember 2018 wurde dem Kläger für die Führung des Prozesses ein Beistand bestellt und die Kindsmutter als Verfahrensbeteiligte ins Rubrum aufge- nommen (Urk. 14/27; Urk. 14/32). Am 1. April 2019 ersuchte der Beklagte um Er- lass vorsorglicher Massnahmen mit den eingangs wiedergegebenen Rechtsbe- gehren (Urk. 14/57 S. 2). An der Verhandlung vom 8. Mai 2019 (siehe Urk. 14/60 und Prot. I S. 19 ff.) konnte keine Einigung erzielt werden (vgl. Prot. I S. 45). Am 18. Juni 2019 erliess die Vorinstanz die eingangs wiedergegebene (Erst- )Verfügung (Urk. 14/87 [unbegründet]; Urk. 14/98 S. 13 f. [begründet] = Urk. 2 S. 13 f.).</w:t>
      </w:r>
    </w:p>
    <w:p>
      <w:r>
        <w:rPr>
          <w:b/>
        </w:rPr>
        <w:t>E. 3</w:t>
      </w:r>
    </w:p>
    <w:p>
      <w:r>
        <w:t>Dagegen erhob die Verfahrensbeteiligte am 27. September 2019 innert Frist (vgl. Urk. 99 Blatt 2) Berufung mit den eingangs aufgeführten Anträgen (Urk. 1A und 1B). Mit Eingabe vom 3. Oktober 2019 modifizierte bzw. begründete die Ver- fahrensbeteiligte ihre Rechtsmittelanträge (Urk. 9). Mit separater Eingabe glei- chen Datums begründete sie ihr Gesuch um Gewährung der unentgeltlichen Rechtspflege, wobei sie gleichzeitig darum ersuchte, dem Beklagten dies- bezüglich keine Akteneinsicht zu gewähren (Urk. 8). Mit Verfügung vom 15. Okto- ber 2019 wurde der Beklagte (einstweilen) für berechtigt erklärt, C._____ jeweils jedes zweite Wochenende ohne Übernachtung am Samstag, von 8.00 Uhr bis 17.00 Uhr, und am Sonntag, von 9.00 Uhr bis 18.00 Uhr, auf eigene Kosten zu betreuen. Im darüber hinausgehenden Umfang wurde der Berufung die auf- schiebende Wirkung erteilt (Urk. 17 Disp. Ziff. 1; vgl. auch Urk. 7, 11 und 12). Die Berufungsantwort datiert vom 24. Oktober 2019 (Urk. 18; s.a. Urk. 7 Disp. Ziff. 2). Der Beistand von C._____ nahm mit Eingabe vom 12. November 2019 zu den bisherigen Eingaben der Verfahrensbeteiligten und des Beklagten Stellung, wobei er sinngemäss die Bestätigung des angefochtenen Entscheides beantragte (Urk. 21; s.a. Urk. 20 Disp. Ziff. 2). Die Verfahrensbeteiligte liess sich mit Eingabe vom 25. November 2019 nochmals vernehmen (Urk. 25). Weitere Eingaben er- folgten nicht.</w:t>
      </w:r>
    </w:p>
    <w:p>
      <w:r>
        <w:t>- 6 -</w:t>
      </w:r>
    </w:p>
    <w:p>
      <w:r>
        <w:rPr>
          <w:b/>
        </w:rPr>
        <w:t>E. 4</w:t>
      </w:r>
    </w:p>
    <w:p>
      <w:r>
        <w:t>Ins Leere geht auch der weitere Vorwurf der Verfahrensbeteiligten, die Vor- instanz habe den Sachverhalt falsch festgestellt, indem sie offenbar davon aus- gegangen sei, der Beklagte habe C._____ bis anhin jeden Montag gesehen (Urk. 9 Rz. 4.1. f. mit Verweis auf Urk. 2 E. II./4.6.). Die Vorinstanz hielt in den entsprechenden Erwägungen einzig fest, dass C._____ den Beklagten bis anhin einmal pro Woche gesehen habe. Dass die Vorinstanz den Beklagten letztlich be- rechtigte, C._____ jeden Montag zu betreuen, dürfte darauf zurückzuführen sein, dass der Beklagte montags jeweils nicht arbeitet und C._____ somit persönlich betreuen kann (vgl. hierzu auch nachstehend Ziff. III./5.3.).</w:t>
      </w:r>
    </w:p>
    <w:p>
      <w:r>
        <w:rPr>
          <w:b/>
        </w:rPr>
        <w:t>E. 4.2</w:t>
      </w:r>
    </w:p>
    <w:p>
      <w:r>
        <w:t>des angefochtenen Entscheids zunächst, dass gemäss der Gerichtspraxis in der Deutschschweiz bei Kindern im Vorschulalter ein Besuchsrecht von einem</w:t>
      </w:r>
    </w:p>
    <w:p>
      <w:r>
        <w:t>- 10 - Tag oder zwei Halbtagen pro Monat einzuräumen sei. Im Widerspruch dazu führe die Vorinstanz in der Folge aus, es erscheine vorliegend im Kindesinteresse an- gezeigt, dass der Kläger beim Beklagten übernachte. Bei einer solchen Schein- begründung sei auch die Ergreifung und die Begründung eines Rechtsmittels kaum möglich, da die eigentliche Begründung des gerichtlichen Entscheids schleierhaft sei. Ein weiterer Widerspruch finde sich sodann in den Erwägungen betreffend die Erziehungsfähigkeit. Dort führe die Vorinstanz zunächst aus, es bestünden keine Zweifel an der Erziehungsfähigkeit der Kindseltern, hole aber in der Folge dennoch ein Erziehungsfähigkeitsgutachten ein (Urk. 9 Rz. 2.1-2.7). Die Rüge der Verfahrensbeteiligten geht ins Leere. Die Vorinstanz machte im angefochtenen Entscheid einleitend zwar allgemeine Ausführungen zur Praxis der Gerichte in der Deutsch- und Westschweiz in Bezug auf die Ausgestaltung des Besuchsrechts. In der Folge wies sie aber zu Recht darauf hin, dass sich der angemessene persönliche Verkehr zwischen Eltern und Kind nicht objektiv und abstrakt umschreiben lasse und nicht durch Verweis auf standardisierte Praktiken, sondern nach richterlichem Ermessen im konkreten Einzelfall zu bestimmen sei (Urk. 2 E. II./4.2. mit Verweis auf BGer 5A_79/2014 vom 5. März 2015, E. 4.3). Von einem Widerspruch oder gar einer Verletzung des Grundsatzes von Treu und Glauben kann daher keine Rede sein, wenn die Vorinstanz im konkreten Fall eine Übernachtung beim Beklagten als im Kindesinteresse gelegen erachtete. Ebenso wenig ist eine Verletzung des Anspruchs auf rechtliches Gehör ersichtlich. Den Erwägungen der Vorinstanz lässt sich klar entnehmen, aufgrund welcher Um- stände sie das von ihr in casu angeordnete Kontaktrecht für angemessen hält. Soweit die Verfahrensbeteiligte schliesslich einen Widerspruch in den Erwägun- gen zur Erziehungsfähigkeit erkennen will, ist Folgendes festzuhalten: Vor- sorgliche Massnahmen in Kinderbelangen sind im summarischen Verfahren zu beurteilen (Art. 248 lit. d und Art. 252 ff. ZPO). Sie regeln das in der Hauptsache umstrittene Rechtsverhältnis für die Dauer des Verfahrens. Sie müssen daher wesentlich schneller erlassen werden als das Urteil in der Hauptsache. Dies wird dadurch erreicht, dass einerseits das Verfahren abgekürzt wird und andererseits weniger Beweise erhoben werden. Das Beweismass ist auf die Glaubhaftma- chung reduziert. Das Gericht hat daher bei der vorsorglichen Regelung grundsätz-</w:t>
      </w:r>
    </w:p>
    <w:p>
      <w:r>
        <w:t>- 11 - lich auf die Vorbringen der Parteien sowie auf die bereits vorhandenen Beweismit- tel abzustellen. Von aufwendigen Beweismassnahmen – worunter auch das Ein- holen eines Gutachtens fällt – ist grundsätzlich abzusehen (vgl. BGer 5A_901/2017 vom 27. März 2018, E. 2.3.; 5A_236/2016 vom 15. Januar 2018, E. 4.5.1.2; 5A_112/2014 vom 11. Juli 2014, E. 1.3). Entsprechend ist nicht zu be- anstanden, dass die Vorinstanz im Rahmen des Entscheids betreffend das vor- sorglich anzuordnende Kontaktrecht gestützt auf die vorliegenden Akten (einst- weilen) von der Erziehungsfähigkeit beider Parteien ausging, die Erziehungsfä- higkeit für die im Hauptverfahren zu prüfende Anordnung einer alternierenden Obhut, für welches das vereinfachte Verfahren zur Anwendung gelangt (vgl. Art. 295 ZPO), hingegen mittels Gutachten genauer abklären will. 3. Im Weiteren wirft die Verfahrensbeteiligte der Vorinstanz vor, entscheidwe- sentliche Argumente bzw. von ihr geäusserte Vorbehalte gegen ein über die Ge- richtsüblichkeit hinausgehendes Besuchsrecht des Beklagten (beispielhaft aufge- zählt in Urk. 9 Rz. 3.1) nicht thematisiert und gewürdigt zu haben. Auch habe es die Vorinstanz unterlassen, den Beklagten an der Verhandlung vom 8. Mai 2019 zu den geäusserten Tatsachenbehauptungen der Verfahrensbeteiligten ausführ- lich zu befragen oder zumindest D._____ dazu anzuhören, ob sie das Fehlverhal- ten des Beklagten bestätigen könne bzw. was sie über den Beklagten sage. Da- mit habe die Vorinstanz die in Kinderbelangen geltende Untersuchungsmaxime wie auch den Anspruch auf rechtliches Gehör verletzt (Urk. 9 Ziff. 3). Die Vorinstanz hielt im angefochtenen Entscheid ausdrücklich fest, dass sie die Vorbringen der Parteien nicht für geeignet halte, die Erziehungsfähigkeit des jeweils anderen Elternteils in Zweifel zu ziehen. Damit hat sie sich implizit mit den jeweiligen Vorbehalten der Parteien auseinandergesetzt. Dies genügt, zumal nicht erforderlich ist, dass sich das Gericht mit allen Parteistandpunkten einlässlich auseinandersetzt und jedes einzelne Vorbringen ausdrücklich widerlegt. Eine Ver- letzung des Anspruchs auf rechtliches Gehör ist damit zu verneinen. Nachdem die Vorinstanz die von der Verfahrensbeteiligten geäusserten Argumente bzw. Vor- behalte nicht für geeignet hielt, ernsthafte Zweifel an der Erziehungsfähigkeit des Beklagten zu wecken, bestand für sie in der Folge auch kein Anlass, den Beklag-</w:t>
      </w:r>
    </w:p>
    <w:p>
      <w:r>
        <w:t>- 12 - ten hierzu näher zu befragen oder D._____ anzuhören. Eine Verletzung des Un- tersuchungsgrundsatzes ist daher ebenfalls nicht auszumachen.</w:t>
      </w:r>
    </w:p>
    <w:p>
      <w:r>
        <w:rPr>
          <w:b/>
        </w:rPr>
        <w:t>E. 5.1</w:t>
      </w:r>
    </w:p>
    <w:p>
      <w:r>
        <w:t>Die Verfahrensbeteiligte moniert schliesslich die von der Vorinstanz für die Dauer des Verfahrens angeordnete Kontaktregelung als unangemessen. Hierzu führt sie aus, C._____ habe bis anhin am Montag, Dienstag und Mittwoch die Krippe besucht. Unter dem Aspekt der Stabilität der Verhältnisse sei es daher an- gezeigt, dass C._____ am Montag weiterhin die Kinderkrippe besuche und nicht aus diesem stabilen und eingespielten Umfeld herausgerissen werde, zumal auch das Risiko bestehe, dass der Betreuungsanteil des Beklagten nach Vorliegen des Erziehungsfähigkeitsgutachtens wieder "zurückgestuft" werde. Eine Änderung der bisherigen Betreuung erscheine zum jetzigen Zeitpunkt damit offensichtlich unan- gemessen. Auch lasse die Vorinstanz eine Abwägung zwischen der bisher geleb- ten und der von ihr in den Raum gestellten Betreuungsregelung missen, die letzt- lich – namentlich mit Blick auf die angebrachten Vorbehalte gegenüber dem Be- klagten punkto Erziehungsfähigkeit und "Empathielosigkeit" – auf eine Versuchs- anordnung hinauslaufe, wofür keine Veranlassung bestehe. Mit Blick auf das Kin- deswohl erscheine es vielmehr angezeigt, dem Beklagten ein Besuchsrecht alle zwei Wochen am Wochenende ohne Übernachtung einzuräumen. Dieses Betreu- ungsmodell habe sich in den letzten Monaten bewährt und sei daher als verbind- lich zu erklären. Ebenfalls als unangemessen erweise sich der Entscheid, soweit die Vorinstanz den Mittagsschlaf einer Übernachtung gleichstelle. Ein Mittags-</w:t>
      </w:r>
    </w:p>
    <w:p>
      <w:r>
        <w:t>- 13 - schlaf dauere lediglich 1-2 Stunden und wenn das Kind aufwache, sei es übli- cherweise hell, es bestehe eine gewisse Geräuschkulisse und die Betreuungs- person sei schnell verfügbar. In der Nacht sei das Kind hingegen – insbesondere bei ungewohnter Umgebung – verängstigt ob der Dunkelheit und Stille. Eine nahe Bindungsperson – wie vorliegend die Verfahrensbeteiligte – könne dem Kind in diesem Moment schnell die Angst nehmen, indem sie z.B. das Kind streichle oder kurz in den Arm nehme. Sei dies aber, wie vorliegend beim Beklagten, mangels Vertrautheit nicht möglich, so könne das Kind längere Zeit nicht mehr einschlafen, was zu einem Schreikrampf und letztlich zu einer entwicklungshindernden Schlaf- störung führen könne. Angesichts dieser "Bindungssensibilität von Übernachtun- gen" erweise sich die vorinstanzliche Anordnung mit vier aufeinanderfolgenden Übernachtungen alle zwei Wochen als offensichtlich unangemessen. Gleiches gelte auch für das angeordnete vorsorgliche Feiertagsbesuchsrecht. Und schliesslich sei der vorinstanzliche Entscheid auch deshalb unangemessen, da die Beziehung zwischen den Halbgeschwistern D._____ und C._____ mit keinem Wort erwähnt werde. Es sei offensichtlich, dass die zahlreichen Übernachtungen von C._____ beim Beklagten einen unnötigen und schädlichen Abstand herbei- führen bzw. gar einen Keil in die sehr innige Beziehung der Geschwister treiben würden (Urk. 9 Rz. 2.8. und Rz. 4.3. ff.).</w:t>
      </w:r>
    </w:p>
    <w:p>
      <w:r>
        <w:rPr>
          <w:b/>
        </w:rPr>
        <w:t>E. 5.2</w:t>
      </w:r>
    </w:p>
    <w:p>
      <w:r>
        <w:t>Gemäss Art. 273 Abs. 1 ZGB haben Eltern, denen die elterliche Sorge oder Obhut nicht zusteht, und das minderjährige Kind gegenseitig Anspruch auf ange- messenen persönlichen Verkehr. Dabei handelt es sich um ein gegenseitiges Pflichtrecht, das in erster Linie dem Interesse des Kindes dient. Oberste Richt- schnur für die Ausgestaltung des persönlichen Verkehrs ist das Kindeswohl. Ent- sprechend hat sich das Gericht in erster Linie an den Bedürfnissen des Kindes zu orientieren; die Interessen der Eltern haben hinter dem vorrangig massgebenden Kindeswohl zurückzustehen. In diesem Sinn hat auch der persönliche Verkehr zum Zweck, die positive Entwicklung des Kindes zu gewährleisten und zu fördern. In der Entwicklung des Kindes sind seine Beziehungen zu beiden Elternteilen wichtig, da sie bei seiner Identitätsfindung eine entscheidende Rolle spielen kön- nen (BGer 5A_530/2018 vom 20. Februar 2019, E. 4.1. m.w.H.). Bei der Ausge- staltung des persönlichen Kontakts ist dem Alter des Kindes, seiner bisherigen</w:t>
      </w:r>
    </w:p>
    <w:p>
      <w:r>
        <w:t>- 14 - Bindung an den anderen Elternteil, der Häufigkeit bisheriger Kontakte und der Le- bensausgestaltung des Kindes sowie beider Eltern in Beruf, Schule und Freizeit Rechnung zu tragen. Ob eine Übernachtung beim Besuchsberechtigten erfolgen kann, hängt neben dem Alter des Kindes vor allem von der Qualität der Eltern- Kind-Beziehung ab.</w:t>
      </w:r>
    </w:p>
    <w:p>
      <w:r>
        <w:rPr>
          <w:b/>
        </w:rPr>
        <w:t>E. 5.3</w:t>
      </w:r>
    </w:p>
    <w:p>
      <w:r>
        <w:t>Vorliegend lässt sich den Akten Folgendes entnehmen: Der Beklagte betreu- te C._____ seit dessen Geburt rund ein Mal pro Woche für mehrere Stunden (vgl. die von der Verfahrensbeteiligten erstellte Tabelle in Urk. 14/71/2; Prot. I S. 29, wonach der Beklagte C._____ ein Mal pro Woche gesehen habe). Im April 2019 teilte die Verfahrensbeteiligte dem Beklagten mit, dass sie es "organisationshal- ber" besser finden würde, die Besuchsdaten bis Juni [2019] zu regeln, wobei der Beklagte C._____ angesichts der von ihr vorgeschlagenen Daten ebenfalls grundsätzlich ein Mal wöchentlich betreuen sollte (vgl. Urk. 14/58). Am 6. Juni 2019 teilte die Verfahrensbeteiligte dem Beklagten mit, dass sie mit Blick auf C._____s Alter einen regelmässigen Besuch alle zwei Wochen für sinnvoll erach- ten würde, weshalb der Beklagte C._____ ab Juli jeden zweiten Samstag (8.00- 17.00 Uhr) und Sonntag (9.00-18.00 Uhr) zu sich nehmen könne. Gleichzeitig hielt sie fest, dass der Beklagte C._____ weiterhin auch unter der Woche für eine kleine Unternehmung abholen könne (Urk. 10 S. 1 f.). Das Besuchswochenende vom 6./7. Juli 2019 wurde seitens des Beklagten am 3. Juli 2019 abgesagt (siehe Urk. 10 S. 2). Ebenfalls am 3. Juli 2019 wurde den Parteien der vorliegend ange- fochtene Entscheid betreffend Kontaktrecht zugestellt (vgl. Urk. 14/80). Damit kann entgegen der Auffassung der Verfahrensbeteiligten nicht von einer etablier- ten Betreuungsregelung jedes zweite Wochenende ohne Übernachtung gespro- chen werden. Vielmehr ist mit der Vorinstanz davon auszugehen, dass der Be- klagte C._____ bis anhin jede Woche für mehrere Stunden betreute. Insofern ist nicht zu beanstanden, dass die Vorinstanz unter dem Aspekt der Kontinuität dem Beklagten ein wöchentliches Kontaktrecht einräumte. Der Beklagte arbeitet am Montag unbestrittenermassen nicht (vgl. auch Prot. I S. 30 f.) und verfügt damit über die zeitliche Kapazität, um C._____ an die- sem Tag persönlich zu betreuen. Zwar besuchte C._____ bis anhin am Montag</w:t>
      </w:r>
    </w:p>
    <w:p>
      <w:r>
        <w:t>- 15 - die Krippe und es mag auch zutreffen, dass es ihm dort gut gefällt und er gerne hingeht, dennoch ist vorliegend eine persönliche Betreuung durch den Kindsvater einer Fremdbetreuung vorzuziehen. Der Beklagte führte vorinstanzlich zudem aus, sein Bruder habe zwei Kinder und am Montag ebenfalls frei, sodass sie oft mit den Kindern etwas unternehmen würden (Prot. I S. 31). Damit geht der Ein- wand der Verfahrensbeteiligten ins Leere, beim Beklagten sei kein anderes Kind zugegen und es sei auch sonst kein soziales Umfeld ersichtlich, weshalb C._____ in der Krippe besser aufgehoben sei (Urk. 25 Rz. 4). Das weitere Argument der Verfahrensbeteiligten, die aktuelle Betreuungssituation funktioniere gut und scheine mit Blick auf das Befinden von C._____ erfolgreich zu sein, weshalb sich keine Veränderung – und auch keine Ausdehnung zugunsten des Beklagten – aufdränge (vgl. Urk. 25 Rz. 32), greift sodann zu kurz. Für das Kind ist – wie er- wähnt (vgl. vorstehend Ziff. III./5.2.) – die Beziehung zu beiden Elternteilen wich- tig. Ein Kontaktunterbruch von zwei Wochen – wie es die Verfahrensbeteiligte mit der Beibehaltung der "bisherigen" Regelung verlangt – wird von Kleinkindern als "ewig" erlebt, weshalb bei Kindern im Alter von C._____ häufige (und kürzere) Besuche empfohlen werden (Famkomm Scheidung/Schreiner, Anh. Psych N 201). Zwar kann vorliegend nicht gänzlich ausgeschlossen werden, dass nach Eingang des Erziehungsfähigkeitsgutachtens allenfalls eine andere Regelung vorzusehen sein wird. Dies ist jedoch in Kauf zu nehmen. Ebenfalls nicht zu beanstanden und beizubehalten ist der von der Vorinstanz in der zweiten Phase am Montag vorgesehene Besuchsrechtsbeginn um 7.15 Uhr. Dieser Besuchsrechtsbeginn ist überdies für die Montage der ersten Phase zu übernehmen. Es ist nicht ersichtlich und wird von der Verfahrensbeteiligten auch nicht näher ausgeführt, weshalb ein Besuchsrechtsbeginn um 7.15 Uhr nicht möglich sein sollte (Urk. 25 Rz. 15), zumal der Beklagte im gleichen Ort wie die Verfahrensbeteiligte wohnt und die Verfahrensbeteiligte vor Vorinstanz angab, das Haus am Montag um 7.00 Uhr zu verlassen und dann – offensichtlich auf dem Weg zur Arbeit – C._____ in die Krippe zu bringen (Prot. I S. 23). Zudem führt die Verfahrensbeteiligte auch nicht aus, welche Uhrzeit besser passen wür- de. Für die erste Phase ist, was die Uhrzeiten angeht, für die Samstage die Rege-</w:t>
      </w:r>
    </w:p>
    <w:p>
      <w:r>
        <w:t>- 16 - lung gemäss Verfügung vom 15. Oktober 2019 (Urk. 17, Disp. Ziff. 1) beizubehal- ten und das Besuchsrecht auf die Zeit von 8.00 Uhr bis 17.00 Uhr festzulegen. Hinsichtlich der von der Vorinstanz ab der zweiten Phase angeordneten Übernachtungen ist sodann festzuhalten, dass zwischen Vater und Sohn – wie erwähnt – von Geburt an eine persönliche Beziehung bestand, welche durch re- gelmässige Besuche seitens des Beklagten gelebt und gepflegt wurde. Es ist mit- hin davon auszugehen, dass ein gewisses Vertrauensverhältnis bereits entstan- den ist. Die Besuche von C._____ beim Beklagten klappten bisher offenbar auch ohne grössere Probleme und auch die Verfahrensbeteiligte geht davon aus, dass der Beklagte ein gutes Verhältnis zu C._____ pflegt (Prot. I S. 22). Jedenfalls wird dem Beklagten nicht vorgeworfen, er habe sich während seiner Betreuungszeit nicht ausreichend um C._____ gekümmert bzw. ihn nur mangelhaft betreut. Auch haben beide Parteien ausgeführt, dass es C._____ aktuell gut gehe (Prot. I S. 20; vgl. auch Prot. I S. 27). C._____ ist denn auch mittlerweile zwei Jahre alt und da- mit in einem Alter, in welchem Übernachtungen in Betracht gezogen werden kön- nen (vgl. FamKomm Scheidung/Schreiner, Anh. Psych N 201; vgl. auch Urk. 21 S. 2). Er macht bereits jetzt seinen Mittagsschlaf beim Beklagten und wurde von ihm damit während den für Kleinkinder heiklen Ein- und Aufwachphasen betreut (vgl. auch Urk. 21 S. 1). Insofern ist C._____ mit der Schlafumgebung beim Be- klagten schon vertraut. Zwar mag zutreffen, dass für C._____ eine Trennung von der Verfahrensbeteiligten als Hauptbezugsperson über Nacht zumindest zu Be- ginn schwierig sein dürfte, da ein Mittagsschlaf – wie die Verfahrensbeteiligte zu Recht einwendet und auch die Vorinstanz zu bedenken gab – nicht einer Über- nachtung gleichzusetzen ist. Indes ist nicht einsichtig, weshalb nicht auch der Be- klagte – allenfalls nach einer Angewöhnungszeit – C._____ nachts beruhigen können sollte. Die Verfahrensbeteiligte schliesst Übernachtungen beim Beklagten denn auch nicht per se aus, beantragte sie im vorinstanzlichen Verfahren doch selbst ein dem Beklagten einzuräumendes Besuchsrecht mit Übernachtungen, wenn C._____ drei Jahre alt sei (vgl. Prot. I S. 35 i.V.m. Urk. 14/70 Ziff. 3 der An- träge sowie S. 23). Eine Ausdehnung des Besuchsrechts auf eine Übernachtung beim Beklagten alle zwei Wochen dürfte sich schliesslich auch kaum negativ auf die (Halb-)Geschwisterbeziehung zwischen C._____ und D._____ auswirken. Ei-</w:t>
      </w:r>
    </w:p>
    <w:p>
      <w:r>
        <w:t>- 17 - ne Ausdehnung des Kontaktrechts auf eine Übernachtung alle zwei Wochen er- möglicht es jedoch dem Beklagten, noch präsenter im Alltag von C._____ zu sein und von C._____ noch intensiver als Elternteil wahrgenommen zu werden. Zusammenfassend erweist sich das von der Vorinstanz in den Phasen 1 und 2 vorgesehene (gestaffelt auszudehnende) Kontaktrecht grundsätzlich als im Kindeswohl gelegen und damit als angemessen. Soweit die Verfahrensbeteiligte der Ansicht ist, die in ihrer Berufungsschrift thematisierten "gravierenden Vorbe- halte" gegenüber dem Beklagten stünden einem solchen Kontaktrecht grundsätz- lich im Wege (Urk. 9 Rz. 3.1.), geht sie fehl. Der von ihr geäusserte Vorwurf, der Beklagte sei ihr gegenüber (aus verletztem Stolz) feindselig und beantrage die al- ternierende Obhut nur deshalb, um sie (die Verfahrensbeteiligte) zu bekämpfen (a.a.O., 1. Spiegelstrich), stellt zum einen lediglich eine Mutmassung dar und be- trifft zum anderen – wie sie selbst einräumt – einzig die Elternebene. Dass sich dieses angebliche Verhalten des Beklagten negativ auf C._____ auswirke (vgl. Urk. 25 Rz. 9 und Rz. 17), ist nicht ersichtlich, zumal beide Parteien übereinstim- mend ausführten, C._____ gehe es aktuell gut (vgl. Prot. I S. 20 und S. 27; Urk. 25 Rz. 32). Auch der weitere Vorwurf, der Beklagte könnte die Beziehung von C._____ zur Verfahrensbeteiligten aufgrund seiner "absolut geringschätzigen Meinung" ihr gegenüber hintertreiben, stellt lediglich eine Vermutung der Verfah- rensbeteiligten dar (a.a.O., 3. Spiegelstrich), welche durch keine objektiven An- haltspunkte gestützt wird. Bei den von der Verfahrensbeteiligten vorgebrachten Vorwürfen in Bezug auf das Verhalten des Beklagten gegenüber D._____ (a.a.O., 2. Spiegelstrich; vgl. auch Urk. 25 Rz. 18) handelt es sich schliesslich um Be- hauptungen, welche vom Beklagten ausdrücklich bestritten wurden (vgl. Prot. I S. 39 und S. 44; Urk. 18 Rz. 30). Abgesehen davon kann vom Verhalten des Be- klagten gegenüber D._____ nicht ohne Weiteres auf dessen Verhalten gegenüber C._____ geschlossen werden.</w:t>
      </w:r>
    </w:p>
    <w:p>
      <w:r>
        <w:rPr>
          <w:b/>
        </w:rPr>
        <w:t>E. 5.4</w:t>
      </w:r>
    </w:p>
    <w:p>
      <w:r>
        <w:t>Für die Zeit ab 1. Oktober 2019 (dritte Phase) ordnete die Vorinstanz ein Kontaktrecht mit einer nahezu hälftigen Betreuung an (vgl. vorstehende Ziff. III./1.). Eine solch weitgehende Ausdehnung bereits im Rahmen des Mass- nahmeverfahrens erscheint indes nicht angezeigt. Zu berücksichtigen ist insbe-</w:t>
      </w:r>
    </w:p>
    <w:p>
      <w:r>
        <w:t>- 18 - sondere, dass die Vorinstanz selbst mit Blick auf die noch zu beurteilende Frage einer allenfalls (im Endentscheid) anzuordnenden alternierenden Obhut ein Erzie- hungsfähigkeitsgutachten eingeholt hat, mithin die Erziehungsfähigkeit der Kind- seltern noch nicht für restlos geklärt erachtet. Zudem sollte bei Kleinkindern wie C._____ die Trennungszeit von der Hauptbezugsperson – vorliegend die Verfah- rensbeteiligte – nicht allzu lang sein. Eine ununterbrochene Betreuungszeit von Freitagabend bis Dienstagmorgen muss aber im vorliegenden Kontext zweifellos als lang erachtet werden. Insgesamt erscheint es daher im Wohl von C._____ ge- legen, das Kontaktrecht jedenfalls einstweilen – im Rahmen von vorsorglichen Massnahmen – bei einem wöchentlichen Besuchsrecht sowie einer Übernachtung jedes zweite Wochenende zu belassen. Dies ermöglicht es C._____, sich an die Übernachtungen beim Beklagten zu gewöhnen und seine Beziehung zum Beklag- ten zu festigen. Die Ausführungen des Beklagten in Bezug auf die seiner Ansicht nach anzuordnende alternierende Obhut (vgl. insbesondere Urk. 18 Rz. 4-16) ver- mögen bei dieser Ausgangslage nichts zu ändern. Ebensowenig vermag der Be- klagte mit seinen Ausführungen die Erziehungsfähigkeit der Verfahrensbeteiligten in Zweifel zu ziehen, weshalb sich ein Kontaktrecht mit einer nahezu hälftigen Be- treuung – entgegen seiner Auffassung (vgl. Urk. 18 Rz. 45) – auch aus diesem Grund nicht aufdrängt.</w:t>
      </w:r>
    </w:p>
    <w:p>
      <w:r>
        <w:rPr>
          <w:b/>
        </w:rPr>
        <w:t>E. 5.5</w:t>
      </w:r>
    </w:p>
    <w:p>
      <w:r>
        <w:t>Aufgrund der im Berufungsverfahren gewährten aufschiebenden Wirkung kam die vorinstanzliche Kontaktregelung gemäss den Phasen 1 und 2 (vgl. vor- stehend Ziff. III./1.) noch nicht zum Tragen. Angesichts des inzwischen eingetre- tenen Zeitablaufs ist die erste Phase daher bis 30. April 2020 zu verlängern. Dies ermöglicht es C._____, sich zunächst an die wöchentliche Betreuung durch den Beklagten am Montag zu gewöhnen. Ab 1. Mai 2020 ist dem Beklagten das Kon- taktrecht gemäss Phase 2 einzuräumen.</w:t>
      </w:r>
    </w:p>
    <w:p>
      <w:r>
        <w:rPr>
          <w:b/>
        </w:rPr>
        <w:t>E. 5.6</w:t>
      </w:r>
    </w:p>
    <w:p>
      <w:r>
        <w:t>Was die vorinstanzliche Feiertagsregelung betrifft, so erscheint – wie voran- gehend erwogen – eine sich über mehrere Tage und Nächte erstreckende Be- treuung durch den Beklagten als (noch) nicht im Kindeswohl gelegen. Jedoch spricht nichts gegen eine (Tages-)Betreuung durch den Beklagten am 24. oder 26. Dezember. In Bezug auf Ostern und Pfingsten ist dem Beklagten unter Ver-</w:t>
      </w:r>
    </w:p>
    <w:p>
      <w:r>
        <w:t>- 19 - weis auf die vorangehenden Erwägungen ein Besuchsrecht in geraden Jahren von Ostersonntag bis Ostermontag (inklusive einer Übernachtung) und in ungera- den Jahren von Pfingstsonntag bis Pfingstmontag (inklusive einer Übernachtung) einzuräumen.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sowie ein Entscheid über vorsorgliche Massnahmen im Sinne von Art. 98 BGG. Es handelt sich um eine nicht vermögensrechtliche Angelegenheit. Die Beschwerde an das Bundesgericht hat keine aufschiebende Wirkung. Hinsichtlich des Fristenlaufs gelten die Art. 44 ff. BGG. Zürich, 18. März 2020 Obergericht des Kantons Zürich I. Zivilkammer Die Gerichtsschreiberin: lic. iur. C. Faoro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