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LZ190020 vom 14. Januar 2020</w:t>
      </w:r>
    </w:p>
    <w:p>
      <w:r>
        <w:t>ZH Obergericht, 2020-01-14, DE</w:t>
      </w:r>
    </w:p>
    <w:p>
      <w:r>
        <w:rPr>
          <w:b/>
        </w:rPr>
        <w:t xml:space="preserve">Quelle: </w:t>
      </w:r>
      <w:r>
        <w:t>https://mcp.opencaselaw.ch/entscheid/zh_obergericht_LZ190020</w:t>
      </w:r>
    </w:p>
    <w:p>
      <w:r>
        <w:t>FR: ZH_OBERGERICHT LZ190020 du 14 janvier 2020</w:t>
      </w:r>
    </w:p>
    <w:p>
      <w:r>
        <w:t>IT: ZH_OBERGERICHT LZ190020 del 14 gennaio 2020</w:t>
      </w:r>
    </w:p>
    <w:p>
      <w:pPr>
        <w:pStyle w:val="Heading2"/>
      </w:pPr>
      <w:r>
        <w:t>Erwägungen</w:t>
      </w:r>
    </w:p>
    <w:p>
      <w:r>
        <w:rPr>
          <w:b/>
        </w:rPr>
        <w:t>E. 1</w:t>
      </w:r>
    </w:p>
    <w:p>
      <w:r>
        <w:t>Die Beklagte und Berufungsklägerin (fortan Beklagte) ist die Tochter des Klägers und Berufungsbeklagten (fortan Kläger). Sie studiert an der Universität … Psychologie. Mit (Scheidungs-)Urteil des Bezirksgerichtes Zürich vom 21. Januar 2009 wurde die Beklagte unter die elterliche Sorge der Kindsmutter C._____ ge- stellt und der Kläger verpflichtet, für die Beklagte bis zum ordentlichen Abschluss einer angemessenen Ausbildung, auch über die Mündigkeit hinaus, Unterhaltsbei- träge im Betrag von Fr. 1'600.– pro Monat zu bezahlen (Urk. 3 S. 3). Am 20. Juni 2017 machte der Kläger bei der Vorinstanz die streitgegenständliche Abände- rungsklage anhängig (Urk. 1) und beantragte die Aufhebung dieser Unterhalts- verpflichtung (Urk. 2). Für den Verlauf des erstinstanzlichen Verfahrens kann auf das angefochtene Urteil verwiesen werden (Urk. 91 E. I = Urk. 97 E. I). Mit Urteil vom 9. Juli 2019 hob die Vorinstanz in teilweiser Gutheissung der Klage den ers- ten Absatz der Ziffer 4 der Vereinbarung der Parteien über die Scheidungsfolgen vom 2. Mai 2008, die mit Dispositiv-Ziffer 3 des Scheidungsurteils des Bezirksge- richts Zürich vom 21. Januar 2009 genehmigt worden war, auf und verpflichtete den Kläger in teils rückwirkender Abänderung der betreffenden Regelung, der Be- klagten ab 1. Juli 2017 Kinderunterhaltsbeiträge in der Höhe von Fr. 1'035.– pro Monat zu bezahlen, zahlbar bis zum ordentlichen Abschluss einer angemessenen Ausbildung der Beklagten, auch über die Mündigkeit hinaus. Im Mehrumfang wies die Vorinstanz die Klage ab (Urk. 91, Dispositiv-Ziffer 1).</w:t>
      </w:r>
    </w:p>
    <w:p>
      <w:r>
        <w:rPr>
          <w:b/>
        </w:rPr>
        <w:t>E. 1.1</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welcher bei Entscheiden betreffend Unterhalt erhebliche Bedeu- tung zukommt (vgl. statt vieler BGer 5A_797/2012 vom 18. März 2013, E. 3.2.3). In der schriftlichen Berufungsbegründung (Art. 311 ZPO) ist hinreichend genau aufzuzeigen, inwiefern der erstinstanzliche Entscheid in den angefochtenen Punk- ten als fehlerhaft zu betrachten ist bzw. an einem der genannten Mängel leidet. Das setzt (im Sinne einer von Amtes wegen zu prüfenden Eintretensvoraus- setzung) voraus, dass der Berufungskläger die vorinstanzlichen Erwägungen be- zeichnet, die er anficht, sich argumentativ mit diesen auseinandersetzt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 derholung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BGer 5A_111/2016 vom</w:t>
      </w:r>
    </w:p>
    <w:p>
      <w:r>
        <w:rPr>
          <w:b/>
        </w:rPr>
        <w:t>E. 1.2</w:t>
      </w:r>
    </w:p>
    <w:p>
      <w:r>
        <w:t>Die Beklagte wiederholt in ihrer Berufungsschrift (Urk. 96) über weite Stre- cken – auf den Seiten 6 ff. zu ihren Lebenshaltungskosten sogar wörtlich (vgl. Urk. 60 S. 7 ff.) –, was sie bereits vor Vorinstanz vorgetragen hat (vgl. insbeson- dere ihre Ausführungen zur stetigen Veränderung ihrer Lebenshaltungskosten auf den Seiten 6 und 9 f. [Urk. 26 S. 12; Urk. 60 S. 8], zur Edition des Arbeitsvertra- ges des Klägers auf Seite 9 [Urk. 26 S. 11], zum Grundbetrag des Klägers auf Seite 9 [Prot. I S. 17 f.], zu ihrem Mietkostenanteil auf Seite 9 [Urk. 60 S. 9; Prot. I S. 18], zu ihren Telekommunikationskosten auf Seite 9 [Urk. 26 S. 12; Urk. 60 S. 9] und zu ihrem Einkommen auf Seite 13 [Urk. 60 S. 10 f.; Urk. 88 S. 2 f.]). Ein erkennbarer (geschweige denn näherer) Bezug zum vorinstanzlichen Entscheid wird dabei nie hergestellt; die sich deshalb in blossen Wiederholungen erschöp- fenden Ausführungen enthalten zwangsläufig auch keine erkennbare Mitteilung von Überlegungen der Beklagten an die Rechtsmittelinstanz dazu, inwiefern die Vorinstanz Recht falsch angewendet oder einen bestimmten Sachverhalt unrichtig festgestellt hätte. Den entsprechenden Ausführungen kommt insoweit auch keine selbständige Bedeutung zu. Nach dem vorhin in E. II.1.1 Dargelegten erweist sich die Berufung in diesem Teil deshalb als unbegründet. Ebenso wenig vermag die Beklagte mit ihrer bloss allgemein gehaltenen Kritik an der Vorinstanz auf Seite 12 ihrer Berufungsschrift (Urk. 96) ihrer Begründungspflicht nach Art. 311 ZPO zu genügen, weshalb nicht weiter darauf einzugehen ist. Ohnehin hätte der Beklag- ten, soweit sie in der vorinstanzlichen Verfahrensleitung Pflichtverletzungen im Sinne einer Rechtsverzögerung erblickte, oblegen, eine (Rechtsverzöge- rungs)Beschwerde i.S.v. Art. 319 lit. c ZPO zu erheben.</w:t>
      </w:r>
    </w:p>
    <w:p>
      <w:r>
        <w:rPr>
          <w:b/>
        </w:rPr>
        <w:t>E. 2</w:t>
      </w:r>
    </w:p>
    <w:p>
      <w:r>
        <w:t>Dagegen erhob die Beklagte innert Frist Berufung und stellte die eingangs erwähnten Anträge (Urk. 96 S. 2). Die mit Verfügung vom 9. Oktober 2019 (Urk. 101) eingeholte Berufungsantwort datiert vom 10. Oktober 2019 (Datum Poststempel: 11. November 2019; Urk. 106). Sie wurde der Beklagten mit Verfü- gung vom 12. November 2019 zur Kenntnisnahme zugestellt (Urk. 109). Weitere Eingaben erfolgten nicht.</w:t>
      </w:r>
    </w:p>
    <w:p>
      <w:r>
        <w:t>- 5 - II.</w:t>
      </w:r>
    </w:p>
    <w:p>
      <w:r>
        <w:rPr>
          <w:b/>
        </w:rPr>
        <w:t>E. 2.1</w:t>
      </w:r>
    </w:p>
    <w:p>
      <w:r>
        <w:t>Die Beklagte stellt für das Berufungsverfahren ein Gesuch um unentgeltliche Rechtspflege (Urk. 96 S. 2, 18).</w:t>
      </w:r>
    </w:p>
    <w:p>
      <w:r>
        <w:rPr>
          <w:b/>
        </w:rPr>
        <w:t>E. 2.2</w:t>
      </w:r>
    </w:p>
    <w:p>
      <w:r>
        <w:t>Wie bereits vorstehend (vgl. E. III.C.2) festgehalten, geht die Unterhalts- pflicht dem Anspruch gegen das Gemeinwesen auf unentgeltliche Rechtspflege vor. Eine gesuchstellende Partei hat daher entweder auch einen Antrag auf Aus- richtung eines Prozesskostenvorschusses bzw. -beitrages zu stellen oder aber im Gesuch um unentgeltliche Rechtspflege ausdrücklich darzulegen, weshalb ihrer Ansicht nach auf ein Verfahren auf Zahlung eines Prozesskostenvorschusses verzichtet werden kann, so dass das Gericht diese Auffassung vorfrageweise überprüfen kann. Es liegt sodann bei Fehlen entsprechender Ausführungen nicht am Gericht, in den Rechtsschriften der ersuchenden Partei oder in den vor- instanzlichen Entscheiden bzw. Akten nach impliziten Hinweisen und Anhalts- punkten zu suchen, die darauf schliessen lassen könnten, dass ein Anspruch auf Prozesskostenvorschuss nicht besteht. Es darf von einer anwaltlich vertretenen Partei verlangt werden, dass sie in ihrem Gesuch um Gewährung der unentgeltli- chen Rechtspflege explizit darlegt, weshalb die Leistung eines Prozesskostenvor- schusses durch die Gegenpartei nicht in Frage kommt. Fehlt diese Begründung, kann das Gesuch um unentgeltliche Rechtspflege ohne Weiteres abgewiesen</w:t>
      </w:r>
    </w:p>
    <w:p>
      <w:r>
        <w:t>- 19 - werden (vgl. BGer 5A_49/2017 vom 18. Juli 2017, E. 3; OGer ZH LZ180002 vom 04.05.2018, E. III.2). Die Beklagte hat vor Obergericht weder einen Antrag auf Ausrichtung eines Pro- zesskostenvorschusses bzw. -beitrages gestellt, noch hat sie dargelegt, weshalb sie auf einen solchen Antrag verzichtet (vgl. Urk. 96). Das Armenrechtsgesuch ist daher bereits aufgrund der Subsidiarität der unentgeltlichen Rechtspflege abzu- weisen. Es wird beschlossen: 1. Das Gesuch der Beklagten um Gewährung der unentgeltlichen Rechtspflege (einschliesslich unentgeltliche Rechtsvertretung) für das Berufungsverfahren wird abgewiesen. 2. Schriftliche Mitteilung und Rechtsmittelbelehrung mit nachfolgendem Erkenntnis. Es wird erkannt: 1. Die Berufung wird abgewiesen, soweit darauf eingetreten wird, und das Ur- teil des Einzelgerichts im ordentlichen Verfahren am Bezirksgericht Zürich, 4. Abteilung, vom 9. Juli 2019 wird bestätigt. 2. Die zweitinstanzliche Entscheidgebühr wird auf Fr. 2'500.– festgesetzt. 3. Die Gerichtskosten für das zweitinstanzliche Verfahren werden der Beklag- ten auferlegt. 4. Für das zweitinstanzliche Verfahren werden keine Parteientschädigungen zugesprochen. 5. Schriftliche Mitteilung an die Parteien sowie an die Vorinstanz, je gegen Empfangsschein.</w:t>
      </w:r>
    </w:p>
    <w:p>
      <w:r>
        <w:t>- 20 -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27'120.–. Die Beschwerde an das Bundesgericht hat keine aufschiebende Wirkung. Hinsichtlich des Fristenlaufs gelten die Art. 44 ff. BGG. Zürich, 14. Januar 2020 Obergericht des Kantons Zürich I. Zivilkammer Die Vorsitzende: Die Gerichtsschreiberin: Dr. D. Scherrer lic. iur. N.A.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