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LZ190019 vom 24. September 2019</w:t>
      </w:r>
    </w:p>
    <w:p>
      <w:r>
        <w:t>ZH Obergericht, 2019-09-24, DE</w:t>
      </w:r>
    </w:p>
    <w:p>
      <w:r>
        <w:rPr>
          <w:b/>
        </w:rPr>
        <w:t xml:space="preserve">Quelle: </w:t>
      </w:r>
      <w:r>
        <w:t>https://mcp.opencaselaw.ch/entscheid/zh_obergericht_LZ190019</w:t>
      </w:r>
    </w:p>
    <w:p>
      <w:r>
        <w:t>FR: ZH_OBERGERICHT LZ190019 du 24 septembre 2019</w:t>
      </w:r>
    </w:p>
    <w:p>
      <w:r>
        <w:t>IT: ZH_OBERGERICHT LZ190019 del 24 settembre 2019</w:t>
      </w:r>
    </w:p>
    <w:p>
      <w:pPr>
        <w:pStyle w:val="Heading2"/>
      </w:pPr>
      <w:r>
        <w:t>Erwägungen</w:t>
      </w:r>
    </w:p>
    <w:p>
      <w:r>
        <w:rPr>
          <w:b/>
        </w:rPr>
        <w:t>E. 23</w:t>
      </w:r>
    </w:p>
    <w:p>
      <w:r>
        <w:t>September 2019 (Urk. 5), zog der Beklagte und Berufungskläger die Berufung zurück. Das Verfahren ist entsprechend abzuschreiben. Ausgangsgemäss sind die Prozesskosten des Rechtsmittelverfahrens dem Beklagten und Berufungskläger aufzuerlegen (Art. 106 Abs. 1 ZPO). Mangels er- heblicher Umtriebe ist den Klägerinnen und Berufungsbeklagten für das Rechts- mittelverfahren keine Parteientschädigung zuzusprechen. Es wird beschlossen: 1. Das Verfahren wird abgeschrieben. 2. Die zweitinstanzliche Entscheidgebühr wird auf Fr. 300.– festgesetzt. 3. Die Gerichtskosten des Rechtsmittelverfahrens werden dem Berufungskläger auferlegt. 4. Es werden keine Parteientschädigungen zugesprochen. 5. Schriftliche Mitteilung an die Parteien, an die Berufungsbeklagten unter Bei- lage je einer Kopie von Urk. 5, sowie an die Vorinstanz, je gegen Empfangs- 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in einem Verfahren betreffend vorsorgliche Massnahmen im Sinne von Art. 98 BGG. Es handelt sich um eine nicht vermögensrechtliche Angelegenheit.</w:t>
      </w:r>
    </w:p>
    <w:p>
      <w:r>
        <w:t>- 3 - Die Beschwerde an das Bundesgericht hat keine aufschiebende Wirkung. Hinsichtlich des Fristenlaufs gelten die Art. 44 ff. BGG. Zürich, 24. September 2019 Obergericht des Kantons Zürich I. Zivilkammer Die Gerichtsschreiberin: lic. iur. P. Kunz Bucheli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