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LZ180005 vom 11. Juni 2018</w:t>
      </w:r>
    </w:p>
    <w:p>
      <w:r>
        <w:t>ZH Obergericht, 2018-06-11, DE</w:t>
      </w:r>
    </w:p>
    <w:p>
      <w:r>
        <w:rPr>
          <w:b/>
        </w:rPr>
        <w:t xml:space="preserve">Quelle: </w:t>
      </w:r>
      <w:r>
        <w:t>https://mcp.opencaselaw.ch/entscheid/zh_obergericht_LZ180005</w:t>
      </w:r>
    </w:p>
    <w:p>
      <w:r>
        <w:t>FR: ZH_OBERGERICHT LZ180005 du 11 juin 2018</w:t>
      </w:r>
    </w:p>
    <w:p>
      <w:r>
        <w:t>IT: ZH_OBERGERICHT LZ180005 del 11 giugno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Der Beklagte und Berufungsbeklagte (fortan Beklagter) und B._____ sind die unverheirateten Eltern der Klägerin, Berufungsklägerin und Beschwerdeführe- rin (fortan Klägerin), geb. am tt.mm.2016. Mit Eingabe vom 27. März 2017 machte die Klägerin, vertreten durch ihre Mutter B._____, gegen den Beklagten eine Un- terhaltsklage bei der Vorinstanz anhängig (Urk. 7/1). Gleichzeitig stellte sie den Antrag auf Verpflichtung des Beklagten zur Leistung eines Prozesskostenvor- schusses von vorerst Fr. 10'000.– und ersuchte eventualiter um Bewilligung der unentgeltlichen Rechtspflege. Anlässlich der Hauptverhandlung vom 18. Septem- ber 2017 erstatteten beide Parteien ihre ersten Parteivorträge (vgl. Prot. I. S. 3 ff.). Mit Verfügung vom 2. Oktober 2017 wurde für die zweiten Parteivorträge das schriftliche Verfahren angeordnet (Urk. 7/16). Die klägerische Replik datiert vom 10. November 2017 (Urk. 7/25). Während laufender Duplikfrist verlangte die Klä- gerin mit Eingabe vom 25. Januar 2018, es sei über ihr bereits gestelltes Gesuch um Verpflichtung des Beklagten zur Leistung eines Prozesskostenvorschusses im Rahmen eines "Zwischenentscheids" zu befinden (Urk. 7/31). Am 12. Februar 2018 erstattete der Beklagte die Duplik sowie die Stellungnahme zur klägerischen Eingabe vom 25. Januar 2018 (Urk. 7/35). Diese wurde der Klägerin mit Verfü- gung vom 14. Februar 2018 (Urk. 7/37) zugestellt.</w:t>
      </w:r>
    </w:p>
    <w:p>
      <w:r>
        <w:rPr>
          <w:b/>
        </w:rPr>
        <w:t>E. 2</w:t>
      </w:r>
    </w:p>
    <w:p>
      <w:r>
        <w:t>Am 21. Februar 2018 fällte die Vorinstanz den folgenden Massnahmenent- scheid (Urk. 7/39 = Urk. 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