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LZ150007 vom 13. Juli 2015</w:t>
      </w:r>
    </w:p>
    <w:p>
      <w:r>
        <w:t>ZH Obergericht, 2015-07-13, DE</w:t>
      </w:r>
    </w:p>
    <w:p>
      <w:r>
        <w:rPr>
          <w:b/>
        </w:rPr>
        <w:t xml:space="preserve">Quelle: </w:t>
      </w:r>
      <w:r>
        <w:t>https://mcp.opencaselaw.ch/entscheid/zh_obergericht_LZ150007</w:t>
      </w:r>
    </w:p>
    <w:p>
      <w:r>
        <w:t>FR: ZH_OBERGERICHT LZ150007 du 13 juillet 2015</w:t>
      </w:r>
    </w:p>
    <w:p>
      <w:r>
        <w:t>IT: ZH_OBERGERICHT LZ150007 del 13 luglio 2015</w:t>
      </w:r>
    </w:p>
    <w:p>
      <w:pPr>
        <w:pStyle w:val="Heading2"/>
      </w:pPr>
      <w:r>
        <w:t>Erwägungen</w:t>
      </w:r>
    </w:p>
    <w:p>
      <w:r>
        <w:rPr>
          <w:b/>
        </w:rPr>
        <w:t>E. 1</w:t>
      </w:r>
    </w:p>
    <w:p>
      <w:r>
        <w:t>Die Klägerin und Berufungsbeklagte (nachfolgend: Klägerin) ist die gemein- same Tochter des Beklagten und Berufungsklägers (nachfolgend: Beklagter) und C._____ (nachfolgend: Mutter der Klägerin). Mit Verfügung vom 19. März 2013 übertrug die Kindes- und Erwachsenenschutzbehörde (nachfolgend: KESB) dem Beklagten und der Mutter der Klägerin die gemeinsame elterliche Sorge über die Klägerin und genehmigte deren Vereinbarung betreffend die Betreuungsanteile und die Verteilung der Unterhaltskosten (Urk. 6/1a; Urk. 6/1c). Nach der Trennung der Eltern konnte zwischen ihnen keine Einigung bezüglich der Betreuungsanteile sowie des Kindesunterhalts erzielt werden, woraufhin die Klägerin am 26. Mai 2014 ein Schlichtungsgesuch beim Friedensrichteramt der Stadt Zürich, Kreise 7 und 8, und hernach Klage beim Bezirksgericht Zürich, 1. Abteilung, als Einzelge- richt (nachfolgend: Vorinstanz) einreichte (Urk. 1 und 2). Dabei beantragt sie die Regelung der elterlichen Obhut, der Betreuungsanteile sowie des Kindesunter- halts (Urk. 1 und 2). Nach durchgeführter Hauptverhandlung vom 16. September 2014, anlässlich welcher keine Einigung erzielt werden konnte (Prot. I S. 20; Urk. 9 bis 15), schlossen die Parteien anlässlich der Instruktionsverhandlung vom 11. Dezember 2014 eine Teilvereinbarung betreffend Obhut und Betreuung der Klägerin (Urk. 27). Der Kindesunterhalt blieb strittig (Prot. I S. 38). Mit Teilurteil vom 6. Januar 2015 wies die Vorinstanz den Antrag des Beklagten auf Abklärung der Erziehungsfähigkeit der Mutter der Klägerin ab und genehmigte die Teilver- einbarung der Parteien (Urk. 31 = 41).</w:t>
      </w:r>
    </w:p>
    <w:p>
      <w:r>
        <w:rPr>
          <w:b/>
        </w:rPr>
        <w:t>E. 2</w:t>
      </w:r>
    </w:p>
    <w:p>
      <w:r>
        <w:t>Mit Teilurteil vom 5. Februar 2015 (Endentscheid) wies die Vorinstanz so- dann die Klage der Klägerin auf Abänderung der Unterhaltsregelung ab (Urk. 37). Im Weiteren kann für die Prozessgeschichte und den detaillierten Verlauf vor Vo- rinstanz auf den angefochtenen Entscheid verwiesen werden (Urk. 41 E. I).</w:t>
      </w:r>
    </w:p>
    <w:p>
      <w:r>
        <w:rPr>
          <w:b/>
        </w:rPr>
        <w:t>E. 3</w:t>
      </w:r>
    </w:p>
    <w:p>
      <w:r>
        <w:t>Das Fehlen einer solchen Regelung wird in der Lehre allgemein kritisiert (vgl. Fassbind, in: ZKE 2014 S. 95 Rz. 51 f.; Leitfaden gemeinsame elterliche Sorge, Obergericht des Kantons Zürich, gerichtsübergreifende Arbeitsgruppe ge- meinsame elterliche Sorge, September 2014, Ziff. 5.2 [zit.: Leitfaden gemeinsame elterliche Sorge]; Büchler/Marante, Das neue Recht der elterlichen Sorge, in: Jus- letter 11. August 2014, Rz. 51 ff.; Büchler, in: Schnittstellen zur Sozialhilfe und Neuerungen im Kindesschutz, Referat vom 14.05.2014, Ziff. 6, Referat abrufbar auf: www.hslu.ch/fachtagung-kes; Bericht BJ, Inkraftsetzung Revision elterliche Sorge, Mai 2014, S. 9). Zum Teil wird postuliert, dass die KESB in analoger An- wendung von Art. 298c Abs. 1 (Vaterschaftsklage) sowie Art. 134 Abs. 4 ZGB (Scheidungsverfahren) die Regelung sämtlicher Kinderbelange an das Gericht de- legieren solle, das für die Regelung des Kindesunterhalts zuständig sei (Fassbind, a.a.O., Rz. 51 f.; Büchler/Marante, a.a.O., Rz. 51 ff.). Andere Stimmen halten da- gegen – ohne sich mit der Frage einer möglichen Analogie auseinanderzusetzen – fest, dass das Gesetz Parallelverfahren vorsehe (Schwenzer/Cottier, in: Basler Kommentar ZPO, 2014, Art. 298b N. 14), welche es zu koordinieren gälte (Leitfa- den gemeinsame elterliche Sorge, a.a.O., Ziff. 5.1, Bericht BJ, Inkraftsetzung Re- vision elterliche Sorge, a.a.O., S. 9).</w:t>
      </w:r>
    </w:p>
    <w:p>
      <w:r>
        <w:rPr>
          <w:b/>
        </w:rPr>
        <w:t>E. 3.1</w:t>
      </w:r>
    </w:p>
    <w:p>
      <w:r>
        <w:t>Der Beklagte stellt für das Berufungsverfahrens ein Gesuch um unentgeltli- che Rechtspflege (Urk. 46). Gemäss Art. 117 ZPO hat eine Person Anspruch auf unentgeltliche Rechtspflege, wenn sie nicht über die erforderlichen Mittel verfügt (lit. a) und ihr Rechtsbegehren nicht aussichtslos erscheint (lit. b).</w:t>
      </w:r>
    </w:p>
    <w:p>
      <w:r>
        <w:rPr>
          <w:b/>
        </w:rPr>
        <w:t>E. 3.2</w:t>
      </w:r>
    </w:p>
    <w:p>
      <w:r>
        <w:t>Mittellos ist eine Person, welche die Leistung der erforderlichen Prozess- und Parteikosten nur erbringen kann, wenn sie die Mittel angreift, die sie zur De- ckung des Grundbedarfs für sich und ihre Familie benötigt. Bei der entsprechen- den Prüfung ist die gesamte finanzielle Lage der gesuchstellenden Partei zu be- rücksichtigen. Sie muss sämtliche finanziellen Verpflichtungen sowie Einkom- mens- und Vermögensverhältnisse von ihr und gegebenenfalls ihren Familienan- gehörigen angeben und soweit möglich belegen. Schuldverpflichtungen können nur berücksichtigt werden, wenn sie tatsächlich erfüllt werden. Der Teil der finan- ziellen Mittel, welcher das zur Deckung der persönlichen Bedürfnisse Notwendige überschreitet, muss mit den voraussichtlichen Kosten des Verfahrens verglichen werden, für das um unentgeltliche Rechtspflege ersucht wird. Ein allfälliger Über- schuss zwischen dem effektiv zur Verfügung stehenden Einkommen und dem Notbedarf der gesuchstellenden Partei ist mit den für den konkreten Fall zu erwar- tenden Gerichts- und Anwaltskosten in Beziehung zu setzen und danach zu fra- gen, ob die gesuchstellende Partei mit dem ihr verbleibenden Überschuss in der Lage ist, die anfallenden Gerichts- und Anwaltskosten innert angemessener Frist</w:t>
      </w:r>
    </w:p>
    <w:p>
      <w:r>
        <w:t>- 23 - selbst zu finanzieren. Im Sinne einer groben Faustregel geht die Rechtsprechung davon aus, dass der monatliche Überschuss es ihr ermöglichen sollte, die Pro- zesskosten bei weniger aufwendigen Prozessen innert eines Jahres, bei anderen innert zweier Jahre zu tilgen (Bühler, Die Prozessarmut, in: Schöbi [Hrsg.], Ge- richtskosten, Parteikosten, Prozesskaution, unentgeltliche Prozessführung: SWR Bd. 3, 2001, S. 182 f. und 185).</w:t>
      </w:r>
    </w:p>
    <w:p>
      <w:r>
        <w:rPr>
          <w:b/>
        </w:rPr>
        <w:t>E. 3.3</w:t>
      </w:r>
    </w:p>
    <w:p>
      <w:r>
        <w:t>Der Beklagte begründet sein Gesuch damit, monatlich über einen Betrag von Fr. 6'379.– zu verfügen (Entschädigung der Arbeitslosenkasse abzüglich Steuern von monatlich Fr. 878.25) und dabei einen Bedarf von Fr. 5'804.– aufzu- weisen. Bei seinem Bedarf stützt er sich mehrheitlich auf die Ausführungen der Vorinstanz im Teilurteil vom 5. Februar 2015 (Urk. 48/6). Es resultiere ein Über- schuss von monatlich Fr. 575.–. Hierbei müsse jedoch berücksichtigt werden, dass in dem von ihm aufgestellten Bedarf noch nicht alle seine Ausgaben enthal- ten seien (Urk. 46 S. 3).</w:t>
      </w:r>
    </w:p>
    <w:p>
      <w:r>
        <w:rPr>
          <w:b/>
        </w:rPr>
        <w:t>E. 3.4</w:t>
      </w:r>
    </w:p>
    <w:p>
      <w:r>
        <w:t>Aus seiner Bedarfsberechnung ergibt sich, dass der Beklagte zum von ihm selber festgehaltenen Bedarf von Fr. 5'804.– zusätzliche Kosten von monatlich Fr. 231.– (Fr. 315.– abzüglich Fr. 84.–) für das Generalabonnement, von Fr. 481.– (Fr. 831.– abzüglich Fr. 350.–) für die Kreditkosten der Wohnung in Frankreich sowie von Fr. 844.– (Fr. 2'530.– abzüglich Fr. 1686.–) für die Wohnkosten geltend macht (Urk. 46 S. 2 f.). Zu den Wohnkosten ist auszuführen, dass die Vorinstanz lediglich Fr. 1'886.– im Bedarf des Beklagten berücksichtigte, da der Klägerin ein Anteil von 1/3 anzurechnen sei (Urk. 37 S. 30 Ziff. 2 und S.12). Da der Beklagte den Kindsbedarf von Fr. 1'200.– (vgl. dazu auch Urk. 37 E. III.2.2) in seiner Auflis- tung auch zu seinem Bedarf schlägt (Urk. 46 S. 3), kann dieser Anteil an den Wohnkosten nicht nochmals berücksichtigt werden. Die vom Beklagten geltend gemachten Kreditkosten von insgesamt Fr. 831.– enthalten Amortisationszahlun- gen (vgl. Urk. 7/8). Bei Amortisationszahlungen handelt es sich um Ersparnisse, welche nicht berücksichtigt werden können (vgl. BGer 8C_777/2012 vom 7. Ja- nuar 2013 E. 5.1; Emmel, in: Sutter-Somm/Hasenböhler/Leuenberger, a.a.O., Art. 117 N. 11). Wird im Übrigen auf den vom Beklagten selber geltend gemach- ten Bedarf abgestellt und werden zudem die Kosten für das Generalabonnement</w:t>
      </w:r>
    </w:p>
    <w:p>
      <w:r>
        <w:t>- 24 - berücksichtigt, ist von einem Bedarf des Beklagten von Fr. 6'035.– auszugehen und dem Beklagten bleibt ein monatlicher Überschuss von Fr. 344.–. Damit ist er in der Lage, die vorliegenden Gerichtskosten im Umfang von Fr. 1'500.– innert angemessener Frist zu begleichen. Dazu muss er nicht einmal auf sein Vermögen zurückgreifen, weshalb sich Ausführungen zu seiner Liegenschaft erübrigen. Dementsprechend ist sein Gesuch um unentgeltliche Rechtspflege abzuweisen. Es wird beschlossen:</w:t>
      </w:r>
    </w:p>
    <w:p>
      <w:r>
        <w:rPr>
          <w:b/>
        </w:rPr>
        <w:t>E. 4</w:t>
      </w:r>
    </w:p>
    <w:p>
      <w:r>
        <w:t>Vorauszuschicken ist, dass die vorliegend genauer zu betrachtenden Art. 298b und 298d ZGB im Zusammenhang mit der Änderung des Schweizeri-</w:t>
      </w:r>
    </w:p>
    <w:p>
      <w:r>
        <w:t>- 9 - schen Zivilgesetzbuches (Kindesunterhalt) vom 20. März 2015 (BBl 2015 2723) ergänzt werden. Die Änderungen lauten wie folgt: nArt. 298b Abs. 3 zweiter Satz E-ZGB "3 (…) Vorbehalten bleibt die Klage auf Leistung des Unterhalts an das zuständige Gericht; in diesem Fall entscheidet das Gericht auch über die elterliche Sorge sowie die weiteren Kinderbelange." nArt. 298d Abs. 3 E-ZGB "3 Vorbehalten bleibt die Klage auf Änderung des Unterhaltsbeitrags an das zuständige Ge- richt; in diesem Fall regelt das Gericht nötigenfalls die elterliche Sorge sowie die weiteren Kinderbelange neu." Die Referendumsfrist betreffend das Bundesgesetz vom 20. März 2015 ist am 9. Juli 2015 abgelaufen, der Bundesrat bestimmt das Inkrafttreten der Ände- rung (BBl 2015 2723, 2728). 5.1 Da das Bundesgesetz vom 20. März 2015 noch nicht in Kraft gesetzt wurde, vermag das neue Recht im vorliegend interessierenden Kontext nur dann eine gewisse Vorwirkung erzeugen, wenn durch es das geltende System nicht grund- sätzlich geändert, sondern einzig eine Konkretisierung des bestehenden Rechts- zustands angestrebt oder eine Lücke des geltenden Rechts ausgefüllt werden soll. Nur in solchen Fällen kann eine zukünftige Gesetzeslage zur Auslegung des aktuellen Rechts mitberücksichtigt werden (vgl. BGE 124 II 193 E. 5d; BGE 125 III 401 E. 2a; BGer 5A_793/2011 vom 3. Februar 2012 E. 6.8.3; BGer 5A_863/2013 vom 18. März 2014 E. 3). 5.2 Auch die von der Lehre zum Teil geforderte analoge Anwendung von Art. 134 Abs. 4 ZGB – mit welchem Artikel der Gesetzgeber für veränderte Ver- hältnisse nach der Scheidung eine Kompetenzattraktion beim Gericht ausdrück- lich vorgesehen hat – kommt nur in Frage, wenn die Regelungen in Art. 298b und Art. 298d ZGB lückenhaft sind. 6.1 Eine Gesetzeslücke, die vom Gericht zu füllen ist, liegt gemäss bundesge- richtlicher Rechtsprechung dann vor, wenn der Gesetzgeber etwas zu regeln un- terlassen hat, was er hätte regeln sollen, und dem Gesetz diesbezüglich weder</w:t>
      </w:r>
    </w:p>
    <w:p>
      <w:r>
        <w:t>- 10 - nach seinem Wortlaut noch nach dem durch Auslegung zu ermittelnden Inhalt ei- ne Vorschrift entnommen werden kann (vgl. BGE 139 II 404 E. 4.2; BGE 138 II 1 E. 4.2; BGE 135 III 385 E. 2.1). Ist ein lückenhaftes Gesetz zu ergänzen, gelten als Massstab die dem Gesetz selbst zugrunde liegenden Zielsetzungen und Wer- te (BGE 129 II 401 E. 2.3). Der Umstand, dass sich eine bestimmte Regelung im Gesetz nicht findet, bedeutet nicht ohne Weiteres, dass eine Lücke im Rechtssin- ne vorliegt, die nach Art. 1 Abs. 2 ZGB zu füllen wäre (BGE 140 III 206 E. 3.5 mit weiteren Hinweisen). 6.2 Als lückenhaft kann das Gesetz vorliegend nur gelten, wenn sich ergibt, dass es hinsichtlich der Kompetenzen zwischen dem Gericht und der KESB keine abschliessende Ordnung aufstellt, sondern der Gesetzgeber etwas zu regeln un- terlassen hat, was er hätte regeln sollen. Ist die gesetzliche Regelung hinsichtlich der Frage, wer für die Beurteilung der vorliegenden Streitigkeit betreffend Unter- halt sowie weiterer Kinderbelange zuständig ist, aufgrund der Auslegung demge- genüber als abschliessend zu betrachten, ist das Fehlen einer gesetzlich geregel- ten Kompetenzattraktion beim Gericht folgerichtig und es liegt keine Gesetzeslü- cke vor. 6.3 Ob die Regelung als abschliessend zu betrachten ist, ist durch Auslegung zu ermitteln. Zwar ist dabei eine historisch orientierte Auslegung insoweit von beson- derer Bedeutung, als nur sie die Regelungsabsicht des Gesetzgebers (die sich insbesondere aus den Materialien ergibt) aufzuzeigen vermag. Die Regelungsab- sicht des Gesetzgebers und die mit den zu ihrer Verfolgung getroffenen Wertent- scheidungen bleiben verbindliche Richtschnur des Gerichts. Die Gesetzesmate- rialien sind zwar nicht unmittelbar entscheidend, dienen aber als Hilfsmittel, um den Sinn der Norm zu erkennen (BGE 139 II 404 E. 4.2; BGE 138 II 217 E. 4.1; BGE 137 III 217 E. 2.4.1). Das Gesetz muss sich in erster Linie aus sich selbst heraus ergeben. Das heisst, dass es nach dem Wortlaut, Sinn und Zweck und den ihm zugrunde liegenden Wertungen auf der Basis einer teleologischen Ver- ständnismethode ausgelegt werden muss. Gefordert ist die sachlich richtige Ent- scheidung im normativen Gefüge, ausgerichtet auf ein befriedigendes Ergebnis der ratio legis. Dabei befolgt das Bundesgericht einen pragmatischen Methoden-</w:t>
      </w:r>
    </w:p>
    <w:p>
      <w:r>
        <w:t>- 11 - pluralismus und lehnt es namentlich ab, die einzelnen Auslegungselemente einer hierarchischen Prioritätsordnung zu unterstellen (BGE 140 III 206 E. 3.5) 7.1 Vor der Änderung des Schweizerischen Zivilgesetzbuches vom 21. Juni 2013 (Elterliche Sorge), in Kraft seit 1. Juli 2014, bestand die Möglichkeit der ge- meinsamen elterlichen Sorge bei unverheirateten Personen nur auf gemeinsamen Antrag und nur bei Abschluss einer genehmigungsfähigen Vereinbarung über die Anteile an der Betreuung des Kindes und die Verteilung der Unterhaltskosten (vgl. Art. 298a aZGB). Für eine spätere Neuzuteilung der elterlichen Sorge aufgrund wesentlicher Veränderungen der Verhältnisse war die KESB zuständig (vgl. Art. 298a Abs. 2 aZGB). Eine Unterhaltsklage war damals beim Gericht zu erhe- ben (vgl. Art. 286 ZGB). Unter altem Recht wäre es bei der vorliegenden Streitig- keit somit zu Parallelverfahren gekommen. 7.2 In der Botschaft zur Änderung des Schweizerischen Zivilgesetzbuches (El- terliche Sorge) vom 16. November 2011 wird ausgeführt, dass die Neuregelung die Chance zur Vereinfachung und Klärung der Zuständigkeiten bei Kinderbelan- gen biete. Das Gericht solle für die Regelung der elterlichen Sorge immer dann zuständig sein, wenn sich die Frage in einem eherechtlichen Verfahren stelle. In den übrigen Fällen solle die Zuständigkeit grundsätzlich bei der Kindesschutzbe- hörde liegen. So werde entgegen dem Vernehmlassungsentwurf aufgrund der eingegangenen Kritik darauf verzichtet, alle strittigen Fälle dem Gericht zuzuwei- sen, unabhängig davon, ob es sich dabei um ein eherechtliches Verfahren handle oder nicht. Gemäss Botschaft wäre es widersprüchlich, von den Kindesschutzbe- hörden auf der einen Seite mehr Professionalität zu verlangen, um ihr fast gleich- zeitig Entscheidbefugnisse wegzunehmen und auf das Gericht zu übertragen. Deshalb und da bei Fragen um das Wohl des Kindes öffentliches Recht und priva- tes Recht kaum mehr zu unterscheiden seien, sei es sinnvoll, die Verfahren mög- lichst bei der fachlich kompetenten KESB zu konzentrieren (BBl 2011 9094 Ziff. 1.5.3). Im Zusammenhang mit dem Scheidungsrecht sah der bundesrätliche Ent- wurf vor, dass bei Änderungen der elterlichen Sorge im Anschluss an eine Schei- dung nicht mehr das Gericht, sondern grundsätzlich die KESB entscheiden solle.</w:t>
      </w:r>
    </w:p>
    <w:p>
      <w:r>
        <w:t>- 12 - Dies deshalb, damit diejenige Behörde über die Abänderung entscheide, die be- reits nach (damals) geltendem Recht über Abänderungen des persönlichen Ver- kehrs befinde. Keine Änderung sah der bundesrätliche Entwurf bezüglich des Un- terhalts vor. Dort sollte bei strittigen Verhältnissen weiterhin das Gericht zuständig sein. Weiter sah der Entwurf eine Kompetenzattraktion zugunsten des Gerichts vor, wenn es die Änderung des Unterhaltbeitrages regelt (BBl 2011 9101 Ziff. 2.1). 7.3 Der heute geltende Art. 298b Abs. 3 ZGB entspricht dem Wortlaut des bun- desrätlichen Entwurfs und wurde diskussionslos angenommen (AB 2012 N. 1647; AB 2013 S. 12). Art. 298d ZGB wurde mit seinem heutigen Wortlaut von der Kommission an der ständerätlichen Sitzung beantragt. Begründet wurde dieser Antrag damit, dass es diesen Artikel benötige, um eine drohende Lücke im Ver- gleich zu verheirateten Paaren zu verhindern (Kommissionssprecherin Anne Sey- doux-Christe AB 2013 S. 12). Der Antrag der Kommission wurde diskussionslos angenommen (AB 2013 S. 12; AB 2013 N. 703). Die Räte setzten sich damit je- doch nicht mit der vorliegend interessierenden Frage auseinander, ob das Gericht bei strittigem Unterhalt auch über die weiteren Kinderbelange entscheidet. Zu mehr Diskussionen führte die Kompetenzenregelung im Nachgang an ein Scheidungsverfahren. Bundesrätin Simonetta Sommaruga erklärte, dass die neue Regelung für die Fälle gedacht sei, in welchen es nur um die Frage der Änderung der Elternrechte oder der Elternpflichten gehe. Für jene Fälle solle die KESB zu- ständig sein. Sobald der Unterhalt strittig sei, falle die Zuständigkeit auch nach dem bundesrätlichen Entwurf an das Gericht (vgl. Art. 134 Abs. 3 E-ZGB; AB 2012 N. 1639). Die neue Regelung führe zu einer Parallelität zwischen verheirate- ten und unverheirateten Personen (AB 2013 S. 9). Die Mehrheit wollte dagegen an der geltenden Regelung festhalten, da sich diese bewährt habe. Zudem wurde – trotz der im bundesrätlichen Entwurf vorgesehenen Kompetenzattraktion zu- handen des Gerichts bei strittigem Unterhalt – verschiedentlich festgehalten, dass eine geteilte Zuständigkeit, nämlich jene des Gerichts bei strittigem Unterhalt und ansonsten jene der KESB, nicht prozessökonomisch sei. Es seien Parallelverfah-</w:t>
      </w:r>
    </w:p>
    <w:p>
      <w:r>
        <w:t>- 13 - ren zu befürchten (so Votum Nationalrat Christian Lüscher AB 2012 N. 1640, Vo- tum Nationalrätin Gabi Huber AB 2013 N 700). 7.4 Aus den Materialien lässt sich damit kein eindeutiger Wille des Gesetzge- bers herleiten, wonach die Kompetenzenregelung in Art. 298b bzw. Art. 298d ZGB abschliessend geregelt wäre und der Gesetzgeber eine Kompetenzattrakti- on, wie sie bei geschiedenen Personen vorliegt, ausschliessen wollte. Auch geht nicht hervor, dass es dem Willen des Gesetzgebers entsprochen hätte, mit den neuen Bestimmungen bei unverheirateten Eltern Parallelverfahren auszulösen. Es liegt somit kein planmässiges Vorgehen des Gesetzgebers vor. Vielmehr ist von einem gesetzgeberischen Versehen auszugehen, und dieses Versehen wird nun mit dem Bundesgesetz vom 20. März 2015 behoben (vgl. E. II.4 und E. II.7.6). Dafür sprechen auch die Voten anlässlich der Ratssitzungen, wonach es Doppel- spurigkeiten zu verhindern gälte. Diese Voten fielen zwar im Zusammenhang mit der Diskussion um die Änderung von Art. 134 ZGB, können aber auch bei der vor- liegenden Auslegung berücksichtigt werden. Anlässlich der Sitzungen wurde der Prozessökonomie grossen Wert beigemessen. Parallelverfahren beim Gericht und bei der KESB sind jedoch nicht prozessökonomisch. Dies umso weniger, als die beiden Verfahren in einem sehr nahen Verhältnis stünden bzw. gar voneinan- der abhängen würden. Auch die Ausführungen der Bundesrätin, wonach eine Vereinfachung der Zuständigkeiten angestrebt werde, spricht gegen die Annahme eines qualifizierten Schweigens des Gesetzgebers. 7.5. Weiter lässt auch die systematische Auslegung nicht auf ein qualifiziertes Schweigen des Gesetzgebers schliessen. Es kann nicht davon ausgegangen werden, dass er unverheirateten Parteien zwei gleichzeitig verlaufende Parallel- verfahren vor zwei verschiedenen Behörden aufbürden wollte, wohingegen sich verheiratete oder geschiedene Eltern jeweils an eine Behörde wenden können. 7.6. Zu beachten gilt schliesslich, dass die Kommission für Rechtsfragen des Na- tionalrates (RK-N) die Zuständigkeitsproblematik zwischen den KESB und den Gerichten im Zusammenhang mit nicht miteinander verheirateten Eltern bereits vor Inkrafttreten des neuen Rechts am 1. Juli 2014 erkannt und eine Kompe- tenzattraktion zugunsten des Gerichts für die Fälle geschaffen hat, in welchen</w:t>
      </w:r>
    </w:p>
    <w:p>
      <w:r>
        <w:t>- 14 - hinsichtlich des Unterhaltsbeitrages Uneinigkeit besteht (vgl. Medienmitteilung RK-N vom 28.05.2014). Dementsprechend hat die RK-N in den Sitzungen bezüg- lich der Revision Kindesunterhalt die Aufnahme der Art. 298b Abs. 3 zweiter Satz sowie Art. 298d Abs. 3 ZGB beantragt (vgl. vorstehend in E. II.4). Diese Anträge wurden vom Nationalrat diskussionlos (AB 2014 N. 1245) und vom Ständerat nach einer redaktionellen Anpassung angenommen (vgl. Kommissionssprecher Stefan Engeler AB 2014 S. 1126; AB 2015 N. 86).</w:t>
      </w:r>
    </w:p>
    <w:p>
      <w:r>
        <w:rPr>
          <w:b/>
        </w:rPr>
        <w:t>E. 8</w:t>
      </w:r>
    </w:p>
    <w:p>
      <w:r>
        <w:t>Die Auslegung von Art. 298b und 298d ZGB ergibt damit, dass nicht von ei- nem qualifizierten Schweigen des Gesetzgebers bezüglich einer Kompetenzat- traktion auszugehen ist. Vielmehr liegt eine Lücke vor, welche es in Analogie zu nArt. 298d Abs. 3 E-ZGB bzw. Art. 134 Abs. 4 ZGB zu schliessen gilt (vgl. dazu vorstehend E. II.5.1 f.). Dementsprechend war die sachliche Zuständigkeit bei der Vorinstanz und ist sie auch bei der Berufungsinstanz gegeben. Da die Vorinstanz für die Regelung der strittigen Kinderbelange sachlich zu- ständig war, war sie dies auch, um über das Gesuch des Beklagten auf psycholo- gische Abklärung der Mutter der Klägerin sowie über die Genehmigung der wäh- rend des Verfahrens geschlossenen Vereinbarung zu befinden. III. 1. Die Dispositivziffer 5 des vorinstanzlichen Entscheids blieb unangefochten, weshalb diese in Rechtskraft erwachsen ist (Art. 315 Abs. 1 ZPO). Davon ist Vormerk zu nehmen. 2. Mit der Berufung können unrichtige Rechtsanwendung und unrichtige Fest- stellung des Sachverhalts geltend gemacht werden (Art. 310 ZPO). Gemäss Art. 311 Abs. 1 ZPO muss die Berufung eine Begründung enthalten. Dies bedeu- tet, dass sich der Berufungskläger substantiiert mit den angefochtenen Urteilser- wägungen auseinandersetzt und im Einzelnen aufzeigt, worin eine unrichtige Rechtsanwendung oder eine unrichtige Feststellung des Sachverhalts (Art. 310 ZPO) liegt. Es genügt nicht, wenn der Berufungskläger bloss den vor Vorinstanz</w:t>
      </w:r>
    </w:p>
    <w:p>
      <w:r>
        <w:t>- 15 - eingenommenen Rechtsstandpunkt wiederholt oder gar lediglich auf die Rechts- schriften in den Vorakten verweist. Vielmehr muss er die als fehlerhaft erachteten Erwägungen der Vorinstanz zum Ausgangspunkt seiner Kritik machen. Die Beru- fungsinstanz ist nicht verpflichtet, den angefochtenen Entscheid von sich aus auf alle denkbaren Mängel zu untersuchen, es sei denn, diese träten offen zu Tage (BGE 138 III 374 E. 4.3.1; CAN 2012 Nr. 75 S. 206 f. sowie – mit weiteren Hin- weisen – Seiler, Die Berufung nach ZPO, 2013, N. 893 ff., insb. N. 896; Reetz/Theiler, in: Sutter-Somm/Hasenböhler/Leuenberger, ZPO Kommentar, Art. 311 ZPO N. 36; Kunz, in: Kunz/Hoffmann-Nowotny/Stauber, ZPO-Rechts- mittel Berufung und Beschwerde, 2013, Art. 311 ZPO N. 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