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LZ120016 vom 12. April 2013</w:t>
      </w:r>
    </w:p>
    <w:p>
      <w:r>
        <w:t>ZH Obergericht, 2013-04-12, DE</w:t>
      </w:r>
    </w:p>
    <w:p>
      <w:r>
        <w:rPr>
          <w:b/>
        </w:rPr>
        <w:t xml:space="preserve">Quelle: </w:t>
      </w:r>
      <w:r>
        <w:t>https://mcp.opencaselaw.ch/entscheid/zh_obergericht_LZ120016</w:t>
      </w:r>
    </w:p>
    <w:p>
      <w:r>
        <w:t>FR: ZH_OBERGERICHT LZ120016 du 12 avril 2013</w:t>
      </w:r>
    </w:p>
    <w:p>
      <w:r>
        <w:t>IT: ZH_OBERGERICHT LZ120016 del 12 aprile 2013</w:t>
      </w:r>
    </w:p>
    <w:p>
      <w:pPr>
        <w:pStyle w:val="Heading2"/>
      </w:pPr>
      <w:r>
        <w:t>Erwägungen</w:t>
      </w:r>
    </w:p>
    <w:p>
      <w:r>
        <w:rPr>
          <w:b/>
        </w:rPr>
        <w:t>E. 1</w:t>
      </w:r>
    </w:p>
    <w:p>
      <w:r>
        <w:t>Prozessgeschichte</w:t>
      </w:r>
    </w:p>
    <w:p>
      <w:r>
        <w:rPr>
          <w:b/>
        </w:rPr>
        <w:t>E. 1.1</w:t>
      </w:r>
    </w:p>
    <w:p>
      <w:r>
        <w:t>Am 16. Mai 2011 leitete der Kläger und Beschwerdegegner (fortan Kläger) bei der Vorinstanz durch Einreichung der Klagebewilligung des Friedensrichter- amtes D._____ (Urk. 1) eine Klage auf Abänderung der Unterhaltsbeiträge gegen den Beklagten und Beschwerdeführer (fortan Beklagter) ein und verlangte, diese seien aufzuheben und eventualiter angemessen zu reduzieren (Urk. 2). Für den Verlauf des erstinstanzlichen Verfahrens kann auf die Ausführungen im Entscheid der Vorinstanz verwiesen werden (vgl. Urk. 40 S. 2 ff.).</w:t>
      </w:r>
    </w:p>
    <w:p>
      <w:r>
        <w:rPr>
          <w:b/>
        </w:rPr>
        <w:t>E. 1.2</w:t>
      </w:r>
    </w:p>
    <w:p>
      <w:r>
        <w:t>Mit Urteil vom 9. August 2012 (Urk. 40) entschied die Vorinstanz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