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LZ120014 vom 31. Mai 2013</w:t>
      </w:r>
    </w:p>
    <w:p>
      <w:r>
        <w:t>ZH Obergericht, 2013-05-31, DE</w:t>
      </w:r>
    </w:p>
    <w:p>
      <w:r>
        <w:rPr>
          <w:b/>
        </w:rPr>
        <w:t xml:space="preserve">Quelle: </w:t>
      </w:r>
      <w:r>
        <w:t>https://mcp.opencaselaw.ch/entscheid/zh_obergericht_LZ120014</w:t>
      </w:r>
    </w:p>
    <w:p>
      <w:r>
        <w:t>FR: ZH_OBERGERICHT LZ120014 du 31 mai 2013</w:t>
      </w:r>
    </w:p>
    <w:p>
      <w:r>
        <w:t>IT: ZH_OBERGERICHT LZ120014 del 31 maggio 2013</w:t>
      </w:r>
    </w:p>
    <w:p>
      <w:pPr>
        <w:pStyle w:val="Heading2"/>
      </w:pPr>
      <w:r>
        <w:t>Erwägungen</w:t>
      </w:r>
    </w:p>
    <w:p>
      <w:r>
        <w:rPr>
          <w:b/>
        </w:rPr>
        <w:t>E. 1</w:t>
      </w:r>
    </w:p>
    <w:p>
      <w:r>
        <w:t>Der Beklagte und Berufungsbeklagte 1 (fortan Beklagter 1), B._____, wurde am 7. November 1999 als Sohn der Beklagten und Berufungsbeklagten 2 (fortan Beklagte 2) sowie des Klägers und Berufungsklägers (fortan Kläger) gebo- ren. Der Kläger und die Beklagte 2 hatten am tt. April 1998 geheiratet. Im Juli 2010 verlangte die Beklagte 2 die Trennung. Ein von der Beklagten 2 am 12. Juli 2010 anhängig gemachtes Eheschutzverfahren konnte mittels von den Parteien am 10. August 2010 getroffener Vereinbarung erledigt werden. Unter anderem wurde der Beklagte 1, gemeinsam mit seiner am tt.mm.2002 geborenen Schwes- ter D._____, für die Dauer des Getrenntlebens unter die Obhut der Beklagten 2 gestellt. Am 27. Juli 2010 hatte zwischen den Parteien, in weiterer Anwesenheit des Vaters des Klägers und der Schwester der Beklagten 2, ein Gespräch stattge- funden. Anlässlich dieses Gespräches kam auch das Thema auf, ob der Kläger der leibliche Vater des Beklagten 1 sei. Die jeweiligen Äusserungen der am Ge- spräch beteiligten Personen sind (zumindest im Detail) umstritten. Im Anschluss an diese Unterredung zog die Beklagte 2 zusammen mit den Kindern vorüberge- hend aus der gemeinsamen Wohnung aus. Nach dem Auszug des Klägers aus</w:t>
      </w:r>
    </w:p>
    <w:p>
      <w:r>
        <w:t>- 4 - der ehelichen Wohnung Ende September 2010 wohnte dieser für fünf Wochen bei seinen Eltern im grenznahen E._____ [Staat in Europa]. Während dieser Wochen konnte der Kläger seine Kinder (unter anderem auch den Beklagten 1) nicht zu Besuch nehmen. Nach dem Einzug in seine neue Wohnung in F._____ (Stadt G._____) fasste der Kläger, nachdem Mitte November 2010 ein erstes Besuchs- wochenende stattgefunden hatte, den Entschluss, einen DNA-Test bei den beiden Kindern durchführen zu lassen, um sich Klarheit über seine Vaterschaft zu ver- schaffen. Am nächstfolgenden Besuchswochenende Anfang Dezember 2010 nahm der Kläger - ohne Einverständnis der Beklagten 2 oder der Kinder - die Proben. Diese wurden am 7. Dezember 2010 beim H._____ in I._____ (J._____ [Staat in Europa]) eingereicht. Am 30. Dezember 2010 wurden dem Kläger die Ergebnisse zugestellt. Gemäss (bestrittenem) Testergebnis ist der Kläger mit "beinahe absoluter Sicherheit" nicht der Vater des Beklagten 1.</w:t>
      </w:r>
    </w:p>
    <w:p>
      <w:r>
        <w:rPr>
          <w:b/>
        </w:rPr>
        <w:t>E. 1.1</w:t>
      </w:r>
    </w:p>
    <w:p>
      <w:r>
        <w:t>Ist ein Kind während der Ehe geboren, so gilt der Ehemann als Vater (Art. 255 Abs. 1 ZGB). Diese Vermutung kann er beim Gericht anfechten (Art. 256 Abs. 1 Ziff. 1 ZGB). Der Ehemann hat die Anfechtungsklage binnen Jahresfrist einzureichen, seitdem er die Geburt und die Tatsache erfahren hat, dass er nicht</w:t>
      </w:r>
    </w:p>
    <w:p>
      <w:r>
        <w:t>- 5 - der Vater ist oder dass ein Dritter der Mutter um die Zeit der Empfängnis beige- wohnt hat, in jedem Fall aber vor Ablauf von fünf Jahren seit der Geburt (Art. 256c Abs. 1 ZGB). Es handelt sich um Verwirkungsfristen.</w:t>
      </w:r>
    </w:p>
    <w:p>
      <w:r>
        <w:rPr>
          <w:b/>
        </w:rPr>
        <w:t>E. 1.2</w:t>
      </w:r>
    </w:p>
    <w:p>
      <w:r>
        <w:t>Der Beklagte 1 wurde während der Ehe des Klägers und der Beklag- ten 2 am tt.mm.1999 geboren. Unbestritten ist, dass die absolute Verwirkungsfrist von fünf Jahren bei Einleitung der Anfechtungsklage anfangs Februar 2011 be- reits abgelaufen war.</w:t>
      </w:r>
    </w:p>
    <w:p>
      <w:r>
        <w:rPr>
          <w:b/>
        </w:rPr>
        <w:t>E. 2</w:t>
      </w:r>
    </w:p>
    <w:p>
      <w:r>
        <w:t>Am 4. Februar 2011 machte der Kläger bei der Vorinstanz eine Klage auf Anfechtung der Vaterschaft anhängig. Für den Verlauf des erstinstanzlichen Ver- fahrens kann auf das angefochtene Urteil verwiesen werden (Urk. 48 S. 3f.). Mit Urteil vom 18. Juni 2012 wies die Vorinstanz die Klage ab (Urk. 48 S. 19 Disposi- tivziffer 1). Der Kläger erhob gegen das vorinstanzliche Urteil fristgerecht Beru- fung mit den eingangs erwähnten Anträgen (Urk. 43; Urk. 47). Die Berufungsant- wort des Beklagten 1 datiert vom 29. Oktober 2012 (Urk. 54). Gleichentags ver- zichtete die Beklagte 2 "auf die Beantwortung der Berufung" (Urk. 51). Die Einga- ben wurden mit Beschluss vom 3. Dezember 2012 je der Gegenpartei zugestellt (Urk. 58 S. 3 Dispositivziffer 3). Am 8. Mai 2013 fand ein Referentenwechsel statt. II.</w:t>
      </w:r>
    </w:p>
    <w:p>
      <w:r>
        <w:rPr>
          <w:b/>
        </w:rPr>
        <w:t>E. 2.1</w:t>
      </w:r>
    </w:p>
    <w:p>
      <w:r>
        <w:t>Der Kläger wird für das zweitinstanzliche Verfahren kosten- und ent- schädigungspflichtig (Art. 106 Abs. 1 ZPO i.V.m. Art. 95 Abs. 1 und 3 ZPO). Dem Kläger wurde mit Beschluss der Kammer vom 25. September 2012 die unentgelt- liche Rechtspflege gewährt und in der Person von Fürsprecher Dr. iur. X._____ ein unentgeltlicher Rechtsbeistand bestellt (Urk. 50). Mit Beschluss vom 3. De- zember 2012 wurde sodann den Beklagten die unentgeltliche Rechtspflege ge- währt und der Beklagten 2 Rechtsanwalt lic. iur. Y2._____ als unentgeltlicher Rechtsbeistand bestellt (Urk. 58).</w:t>
      </w:r>
    </w:p>
    <w:p>
      <w:r>
        <w:rPr>
          <w:b/>
        </w:rPr>
        <w:t>E. 2.2</w:t>
      </w:r>
    </w:p>
    <w:p>
      <w:r>
        <w:t>Die Gerichtskosten des Berufungsverfahrens sind gestützt auf die §§ 5 Abs. 1 und 12 der Gebührenverordnung des Obergerichts vom 8. September 2010 (GebV OG) auf Fr. 3'000.– festzusetzen. Sie sind dem Kläger aufzuerlegen, doch zufolge der ihm gewährten unentgeltlichen Rechtspflege einstweilen auf die Gerichtskasse zu nehmen. Die Nachzahlungspflicht gemäss Art. 123 Abs. 1 ZPO bleibt vorbehalten.</w:t>
      </w:r>
    </w:p>
    <w:p>
      <w:r>
        <w:rPr>
          <w:b/>
        </w:rPr>
        <w:t>E. 2.3</w:t>
      </w:r>
    </w:p>
    <w:p>
      <w:r>
        <w:t>Sodann hat der Kläger den Beklagten grundsätzlich eine Parteientschä- digung für das zweitinstanzliche Verfahren zu bezahlen. Hingegen gilt für die Par- teientschädigung der Dispositionsgrundsatz, d.h., sie ist von der Partei zu bean- tragen (Suter/von Holzen: in Sutter-Somm/Hasenböhler/Leuenberger, Kommentar ZPO, 2013, N 30 zu Art. 95). Die Beklagte 2 hat keinen entsprechenden Antrag gestellt (Urk. 51), weshalb ihr keine Parteientschädigung zuzusprechen ist. Dem Beklagten 1 ist eine Parteientschädigung von Fr. 600.– zuzusprechen.</w:t>
      </w:r>
    </w:p>
    <w:p>
      <w:r>
        <w:t>- 13 - Es wird erkannt: 1. Die Berufung wird abgewiesen. 2. Das erstinstanzliche Kosten- und Entschädigungsdispositiv (Dispositivziffern 2 bis 4) wird bestätigt. 3. Die zweitinstanzliche Entscheidgebühr wird auf Fr. 3'000.– festgesetzt. 4. Die Gerichtskosten für das zweitinstanzliche Verfahren werden dem Kläger auferlegt, jedoch zufolge der ihm gewährten unentgeltlichen Rechtspflege einstweilen auf die Gerichtskasse genommen. Eine Nachzahlung im Sinne von Art. 123 Abs. 1 ZPO bleibt vorbehalten. 5. Der Kläger wird verpflichtet, dem Beklagten 1 für das zweitinstanzliche Ver- fahren eine Parteientschädigung von Fr. 600.– zu bezahlen.</w:t>
      </w:r>
    </w:p>
    <w:p>
      <w:r>
        <w:rPr>
          <w:b/>
        </w:rPr>
        <w:t>E. 4</w:t>
      </w:r>
    </w:p>
    <w:p>
      <w:r>
        <w:t>f.) kursieren (BGE 132 III 1 ff., 4 f.), der Registervater unter einer eingeschränkten Ferti- lität leidet (BGE vom 13. Februar 2007, in FamPra 2007, S. 418 ff., 420) bzw. der Regis- tervater lediglich eine Vermutung hat, dass die Kindsmutter wohl auch mit anderen Män- nern verkehrt habe (BGE vom 14. Oktober 2003, in FamPra 2004, S. 142 ff., 144). Sobald der Anfechtungskläger jedoch Zweifel von einer gewissen Intensität hat, und da- von ausgeht, dass er mit grosser oder grösster Wahrscheinlichkeit nicht der leibliche Va- ter ist (BGE vom 31. August 2009, in FamPra 2010, S. 194 ff., 197), hat er umgehend die notwendigen Schritte einzuleiten, er kann nicht weitere Nachforschungen abwarten, bis er sichere Kenntnis hat, nicht Vater zu sein (BGE vom 6. Juli 2011, in FamPra 2011, S. 1002 ff., 1006). Kenntnis darüber, dass ein Dritter der Mutter beigewohnt hat, ist unter anderem gegeben, wenn die Ehefrau dem Ehemann offenbart, mit einem Dritten eine sexuelle Beziehung gehabt zu haben oder erklärt, es sei möglich, dass das Kind nicht von ihm sei (BGE vom</w:t>
      </w:r>
    </w:p>
    <w:p>
      <w:r>
        <w:rPr>
          <w:b/>
        </w:rPr>
        <w:t>E. 4.1</w:t>
      </w:r>
    </w:p>
    <w:p>
      <w:r>
        <w:t>Nach Wegfall des Hinderungsgrundes am 28. Juli 2010 hätte der Kläger mit aller nach den Umständen möglichen Beschleunigung die Anfechtungsklage einreichen müssen (BGer 5C.217/2006 Urteil vom 19. Februar 2007, Erw. 5). Art. 256c Abs. 3 ZGB eröffnet keine zusätzliche Frist. Wenn sich der Verdacht nach Ablauf der gesetzlichen Klagefrist des Art. 256c Abs. 1 ZGB objektiv ver- dichtet, muss der Klageberechtigte mit aller nach den Umständen möglichen Be- schleunigung Klage einreichen, soll diese nicht verwirken. Grundsätzlich hat dies im Folgemonat nach Wegfall des Verzögerungsgrundes zu geschehen, es sei</w:t>
      </w:r>
    </w:p>
    <w:p>
      <w:r>
        <w:t>- 10 - denn, ausserordentliche Umstände wie Ferien, Krankheit oder ähnliches stehen dem entgegen (BGE 136 III 593 ff., 595).</w:t>
      </w:r>
    </w:p>
    <w:p>
      <w:r>
        <w:rPr>
          <w:b/>
        </w:rPr>
        <w:t>E. 4.2</w:t>
      </w:r>
    </w:p>
    <w:p>
      <w:r>
        <w:t>Diesbezüglich kann vollumfänglich auf die zutreffenden Ausführungen der Vorinstanz verwiesen werden (Urk. 48 S. 11 Ziff. 4.1.). Die erst am 3. Februar 2011, mithin rund sechs Monate nach dem klärenden Gespräch zur Post gegebe- ne Klage erfolgte nicht mit aller nach den Umständen gebotenen Beschleunigung, weshalb es vorliegend an einer Voraussetzung für die Wiederherstellung der Frist gemäss Art. 256c Abs. 3 ZGB fehlt. 5.1. Bei der (ermessensweisen) Abklärung, ob ein wichtiger Grund gemäss Art. 256c Abs. 3 ZGB vorliegt, ist auch das Interesse des Kindes zu berücksichti- gen, wenn die Umstände für sich allein noch nicht für die Bejahung eines wichti- gen Grundes ausreichen. Wenn es in einem solchen Fall nicht im Interesse des Kindes liegt, dass die Frage des Kindesverhältnisses dennoch geklärt wird, ist die Wiederherstellung abzulehnen. Mit anderen Worten kann sich die Annahme eines wichtigen Grundes unter Umständen, die sonst hierfür nicht ausreichen würden, rechtfertigen, wenn das Interesse des Klägers an der Anfechtung das gegenteilige Interesse des Kindes eindeutig überwiegt (BGer 5A_240 Urteil vom 6. Juli 2011, Erw. 7.1.). 5.2. Die Vorinstanz führte in diesem Zusammenhang am 30. April 2012 eine Anhörung des Beklagten 1 durch (Urk. 36). Sie kam zum Schluss, dass der Be- klagte 1 durch die Anfechtungsklage, zumindest vorübergehend, vaterlos werde, was seinen Unterhaltsanspruch im Umfang von zur Zeit monatlich Fr. 650.– sowie seine allfälligen sozialversicherungs- und erbrechtlichen Ansprüche untergehen liesse. Es sei gestützt auf die Sachverhaltsdarstellung der Parteien nicht ausge- schlossen, dass die Feststellung der Identität sowie des Aufenthaltsortes des leib- lichen Vaters mit erheblichen Schwierigkeiten verbunden sei, dürfte doch auch in Zukunft die Beklagte 2 die Auskunft darüber verweigern, von wem sie den Beklag- ten 1 empfangen habe. Unter diesen Umständen drohe dem Beklagten 1 nicht nur eine nur ganz vorübergehende Vaterlosigkeit, vielmehr bleibe ungewiss, ob in Zu- kunft ein Kindsverhältnis zum leiblichen Vater begründet werden könnte. Sodann empfinde auch der Beklagte 1 zur Zeit nicht den Wunsch, seinen leiblichen Vater</w:t>
      </w:r>
    </w:p>
    <w:p>
      <w:r>
        <w:t>- 11 - kennen zu lernen. Erbrechtliche sowie unterhaltsrechtliche Interessen bestünden auf beiden Seiten. Sodann habe der Beklagte 1 in einem gewissen Sinn ein im- materielles Interesse, wenigstens einen Registervater zu haben. Es sei sodann nicht ausgeschlossen, dass der Kontakt zwischen dem Kläger und dem Beklag- ten 1 nach einer Pause wieder auflebe. Die Interessen der beiden Seiten erschie- nen als nahezu gleichwertig, jedenfalls seien keine klar überwiegenden Interes- sen auf Seiten des Klägers ersichtlich, welche die Annahme eines wichtigen Grundes gemäss Art. 256c Abs. 3 ZGB trotzdem rechtfertigen würden. Vielmehr gebe es eine Tendenz, dass der Beklagte 1 weiterhin einen losen Kontakt zum Kläger pflege und zur Zeit keinen Kontakt zu einem unbekannten leiblichen Vater suche (Urk. 48 S. 15f.). 5.3. Der Kläger wendet in der Berufung ein, es könne nicht nachvollzogen werden, dass dem Beklagten 1 eine Vaterlosigkeit drohe. Zu Recht bringt er vor, dass der Beklagte 1 an sich ein Recht darauf hat, dass die Beklagte 2 die Identität des leiblichen Vaters bekannt gibt (Urk. 47 S. 5). Hingegen macht auch er nicht geltend, dass die Beklagte 2 hierzu freiwillig bereit wäre. Wenn dies erst erstritten werden muss, so ist die Schlussfolgerung der Vorinstanz, dass dem Beklagten 1 "nicht nur eine nur ganz vorübergehende Vaterlosigkeit" drohe, durchaus korrekt. Sodann kann auf die zutreffenden Ausführungen der Vorinstanz verwiesen wer- den, dass es eine dahingehende Tendenz gebe, dass der Beklagte 1 weiterhin einen losen Kontakt zum Kläger pflege und zur Zeit keinen Kontakt zu einem un- bekannten leiblichen Vater suche, mithin tut der Beklagte 1 derzeit nicht kund, er habe ein Interesse daran, dass - wie vom Kläger angeführt (Urk. 47 S. 5) - "die rechtliche Vaterschaft mit der biologischen Wirklichkeit in Einklang gebracht wird". Ein solches Interesse ergibt sich insbesondere nicht aus der durchgeführten Kin- deranhörung. Damit kam die Vorinstanz zu Recht zum Schluss, dass auf Seiten des Klägers keine klar überwiegenden Interessen vorliegen würden, welche aus- nahmsweise die Anfechtung nach Art. 256c Abs. 3 ZGB zulassen würden.</w:t>
      </w:r>
    </w:p>
    <w:p>
      <w:r>
        <w:rPr>
          <w:b/>
        </w:rPr>
        <w:t>E. 6</w:t>
      </w:r>
    </w:p>
    <w:p>
      <w:r>
        <w:t>Der Beklagten 2 wird für das zweitinstanzliche Verfahren keine Parteient- schädigung zugesprochen.</w:t>
      </w:r>
    </w:p>
    <w:p>
      <w:r>
        <w:rPr>
          <w:b/>
        </w:rPr>
        <w:t>E. 7</w:t>
      </w:r>
    </w:p>
    <w:p>
      <w:r>
        <w:t>Schriftliche Mitteilung an die Parteien sowie an das Bezirksgericht Zürich, je gegen Empfangsschein. Nach unbenutztem Ablauf der Rechtsmittelfrist gehen die erstinstanzlichen Akten an die Vorinstanz zurück.</w:t>
      </w:r>
    </w:p>
    <w:p>
      <w:r>
        <w:rPr>
          <w:b/>
        </w:rPr>
        <w:t>E. 8</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- 14 - Dies ist ein Endentscheid im Sinne von Art. 90 BGG. Es handelt sich um eine nicht vermögensrechtliche Angelegenheit. Die Beschwerde an das Bundesgericht hat keine aufschiebende Wirkung. Hinsichtlich des Fristenlaufs gelten die Art. 44 ff. BGG. Zürich, 31. Mai 2013 Obergericht des Kantons Zürich I. Zivilkammer Der Präsident: Die Gerichtsschreiberin: Dr. R. Klopfer lic. iur. R. Blesi Keller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