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LY250032 vom 17. November 2025</w:t>
      </w:r>
    </w:p>
    <w:p>
      <w:r>
        <w:t>ZH Obergericht, 2025-11-17, DE</w:t>
      </w:r>
    </w:p>
    <w:p>
      <w:r>
        <w:rPr>
          <w:b/>
        </w:rPr>
        <w:t xml:space="preserve">Quelle: </w:t>
      </w:r>
      <w:r>
        <w:t>https://mcp.opencaselaw.ch/entscheid/zh_obergericht_LY250032</w:t>
      </w:r>
    </w:p>
    <w:p>
      <w:r>
        <w:t>FR: ZH_OBERGERICHT LY250032 du 17 novembre 2025</w:t>
      </w:r>
    </w:p>
    <w:p>
      <w:r>
        <w:t>IT: ZH_OBERGERICHT LY250032 del 17 novembre 2025</w:t>
      </w:r>
    </w:p>
    <w:p>
      <w:pPr>
        <w:pStyle w:val="Heading2"/>
      </w:pPr>
      <w:r>
        <w:t>Erwägungen</w:t>
      </w:r>
    </w:p>
    <w:p>
      <w:r>
        <w:rPr>
          <w:b/>
        </w:rPr>
        <w:t>E. 1</w:t>
      </w:r>
    </w:p>
    <w:p>
      <w:r>
        <w:t>Das Verfahren wird abgeschrieben.</w:t>
      </w:r>
    </w:p>
    <w:p>
      <w:r>
        <w:rPr>
          <w:b/>
        </w:rPr>
        <w:t>E. 2</w:t>
      </w:r>
    </w:p>
    <w:p>
      <w:r>
        <w:t>Die zweitinstanzliche Entscheidgebühr wird auf Fr. 5'300.– festgesetzt.</w:t>
      </w:r>
    </w:p>
    <w:p>
      <w:r>
        <w:rPr>
          <w:b/>
        </w:rPr>
        <w:t>E. 3</w:t>
      </w:r>
    </w:p>
    <w:p>
      <w:r>
        <w:t>Die Gerichtskosten des Beschwerdeverfahrens werden den Parteien je zur Hälfte auferlegt und mit dem geleisteten Kostenvorschuss verrechnet. Der Kläger wird verpflichtet, der Beklagten den geleisteten Vorschuss im Umfang von Fr. 2'500.– zu ersetzen. Im Mehrbetrag stellt die Obergerichtskasse den Parteien Rechnung.</w:t>
      </w:r>
    </w:p>
    <w:p>
      <w:r>
        <w:rPr>
          <w:b/>
        </w:rPr>
        <w:t>E. 4</w:t>
      </w:r>
    </w:p>
    <w:p>
      <w:r>
        <w:t>Es wird davon Vormerk genommen, dass die Parteien für das zweitinstanzli- che Verfahren gegenseitig auf eine Parteientschädigung verzichtet haben.</w:t>
      </w:r>
    </w:p>
    <w:p>
      <w:r>
        <w:rPr>
          <w:b/>
        </w:rPr>
        <w:t>E. 5</w:t>
      </w:r>
    </w:p>
    <w:p>
      <w:r>
        <w:t>Schriftliche Mitteilung an die Parteien, an den Kläger unter Beilage der Dop- pel von Urk. 4 und 5,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w:t>
      </w:r>
    </w:p>
    <w:p>
      <w:r>
        <w:t>- 5 - Zürich, 17. November 2025 Obergericht des Kantons Zürich I. Zivilkammer Die Gerichtsschreiberin: MLaw I. Aeberhard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