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LY250008 vom 21. November 2025</w:t>
      </w:r>
    </w:p>
    <w:p>
      <w:r>
        <w:t>ZH Obergericht, 2025-11-21, DE</w:t>
      </w:r>
    </w:p>
    <w:p>
      <w:r>
        <w:rPr>
          <w:b/>
        </w:rPr>
        <w:t xml:space="preserve">Quelle: </w:t>
      </w:r>
      <w:r>
        <w:t>https://mcp.opencaselaw.ch/entscheid/zh_obergericht_LY250008</w:t>
      </w:r>
    </w:p>
    <w:p>
      <w:r>
        <w:t>FR: ZH_OBERGERICHT LY250008 du 21 novembre 2025</w:t>
      </w:r>
    </w:p>
    <w:p>
      <w:r>
        <w:t>IT: ZH_OBERGERICHT LY250008 del 21 novembre 2025</w:t>
      </w:r>
    </w:p>
    <w:p>
      <w:pPr>
        <w:pStyle w:val="Heading2"/>
      </w:pPr>
      <w:r>
        <w:t>Erwägungen</w:t>
      </w:r>
    </w:p>
    <w:p>
      <w:r>
        <w:rPr>
          <w:b/>
        </w:rPr>
        <w:t>E. 1</w:t>
      </w:r>
    </w:p>
    <w:p>
      <w:r>
        <w:t>Die Parteien sind verheiratet und haben den gemeinsamen Sohn F._____, geboren am tt.mm.2017. Sie stehen sich seit dem 16. Oktober 2020 in einem Schei- dungsverfahren gegenüber (Urk. 4/1). Im Rahmen der schriftlichen Klageantwort vom 23. September 2024 stellte der Berufungskläger, Gesuchsteller und Beklagte (fortan Beklagter) die vorstehend erwähnten Anträge zum Erlass vorsorglicher Massnahmen betreffend Edition von Unterlagen (Urk. 4/162 S. 1 f.). Am 12. Fe- bruar 2025 erliess die Vorinstanz eine Verfügung über vorsorgliche Massnahmen und wies die Editionsbegehren des Beklagten ab, soweit diese durch die von der Berufungsbeklagten, Gesuchsgegnerin und Klägerin (fortan Klägerin) eingereich- ten Belege nicht gegenstandslos geworden waren (Urk. 4/185 = Urk. 2).</w:t>
      </w:r>
    </w:p>
    <w:p>
      <w:r>
        <w:rPr>
          <w:b/>
        </w:rPr>
        <w:t>E. 1.1</w:t>
      </w:r>
    </w:p>
    <w:p>
      <w:r>
        <w:t>Gemäss Art. 170 Abs. 1 ZGB kann jeder Ehegatte vom andern Auskunft über dessen Einkommen, Vermögen und Schulden verlangen. Das Gericht kann den andern Ehegatten oder Dritte auf Begehren verpflichten, die erforderlichen Auskünfte zu erteilen und die notwendigen Urkunden vorzulegen (Art. 170 Abs. 2 ZGB). Auskunft verlangen kann ein Ehegatte über alles, was für die Beurteilung und Geltendmachung von Ansprüchen nötig ist oder geeignet erscheint, Hinweise auf solche Ansprüche zu vermitteln. Ausgeschlossen sind Auskunftsersuchen aus Schikane oder aus blosser Neugier (vgl. BGer 5A_1022/2015 vom 29.4.2016, E. 7.1). Der um Auskunft ersuchende Ehegatte muss glaubhaft darlegen, für welche materiell-rechtlichen Ansprüche er Auskunft benötigt (Frage des Rechtsschutzinteresses) und weshalb er zur Geltendmachung dieser Ansprüche auf die anbegehrten Auskünfte und Unterlagen angewiesen ist (Frage nach dem Inhalt und dem Umfang der Auskunftspflicht [BSK ZGB I- Maier/Schwander, Art. 170 N 20]). Unzulässig ist es, wahllos Finanzinstitute her- auszugreifen, um zu erforschen, ob der verpflichtete Ehegatte dort Vermögen an- gelegt hat. Ein unzulässiger Ausforschungsversuch liegt (nur) vor, wenn der An- tragsteller keine Anhaltspunkte vortragen kann, die seinen Tatsachenvortrag plau- sibel machen (vgl. hierzu OGer ZH LC180020 vom 4. Februar 2019, IV./E. 1.). Zum Wesen des Informationsanspruchs gehört, dass der Berechtigte für seine Geltend- machung nicht zu beweisen hat, wonach er sucht (vgl. BGer 5A_994/2014 vom 11.1.2016, E. 5.3; BGer 5A_1022 vom 29.4.2016, E. 7.4). Im Übrigen kann auf die zutreffende Darlegung der rechtlichen Grundlagen des Auskunftsanspruchs durch die Vorinstanz verwiesen werden (vgl. Urk. 2 Erw. 2).</w:t>
      </w:r>
    </w:p>
    <w:p>
      <w:r>
        <w:rPr>
          <w:b/>
        </w:rPr>
        <w:t>E. 1.2</w:t>
      </w:r>
    </w:p>
    <w:p>
      <w:r>
        <w:t>Der Inhalt und Umfang der Auskunftspflicht gemäss Art. 170 Abs. 1 und Abs. 2 ZGB bestimmt sich nach dem materiell-rechtlichen Anspruch, für welchen</w:t>
      </w:r>
    </w:p>
    <w:p>
      <w:r>
        <w:t>- 10 - das Auskunftsbegehren gestellt wird. Das Gericht kann den auskunftsersuchten Ehegatten nur zur Erteilung der Auskünfte über Tatsachen und Umstände verpflich- ten, welche als Tatsachen und Umstände für den materiell-rechtlichen Anspruch entscheidrelevant sind. Mit Art. 170 ZGB soll jeder Ehegatte die Erteilung von Aus- künften über die finanziellen Verhältnisse des anderen Ehegatten gerichtlich durch- setzen können, um gemäss der allgemeinen Beweislastregel von Art. 8 ZGB ge- genüber dem anderen Ehegatten eherechtliche Ansprüche begründen zu können. Es soll ihm somit Gelegenheit gegeben werden, seine Behauptungen vorab genü- gend substantiiert aufstellen zu können. Es muss daher nicht nur Auskunft über diejenigen Tatsachen und Umstände gegeben werden, auf welche das Gericht in Ausübung seines Ermessens im Endentscheid letztendlich abstellt, sondern viel- mehr über sämtliche (beispielsweise) aus der angewandten Unterhaltsbemes- sungsmethode abgeleiteten Tatsachen und Umstände, welche als entscheidrele- vante Tatsachen in Frage kommen können (sog. „potenziell entscheidrelevante Tatsachen“). Nur wenn dem behauptungs- und beweisbelasteten Ehegatten Gele- genheit gegeben wird, in diese potenziell entscheidrelevanten Tatsachen Einsicht zu nehmen, kann er abwägen, ob und gegebenenfalls welche Tatsachen und Um- stände seines Erachtens relevant und damit in den Prozess einzubringen sind. In einem weiteren Schritt hat das Gericht in seinem Entscheid in der Sache selbst zu bestimmen, ob die geltend gemachten Tatsachen und Umstände von Relevanz sind und ob sie von der beweispflichtigen Partei mittels der bezeichneten Beweis- mittel bewiesen wurden. Der Kreis der entscheidrelevanten Tatsachen und Um- stände ist somit bei der Bestimmung des Umfangs der Auskunftspflicht nach Art. 170 Abs. 2 ZGB mitunter weiter zu fassen als die Umstände und die Tatsachen, welche das Gericht bei der Urteilsfällung zur Ausfüllung seines Ermessens effektiv beizieht (vgl. zum Ganzen OGer ZH LE160021 vom 23. September 2016, E. 6.1. m.H. auf die Literaturstellen; BGer 5A_1022 vom 29.4.2016, E. 7.4). 2. Erwägungen der Vorinstanz</w:t>
      </w:r>
    </w:p>
    <w:p>
      <w:r>
        <w:rPr>
          <w:b/>
        </w:rPr>
        <w:t>E. 2</w:t>
      </w:r>
    </w:p>
    <w:p>
      <w:r>
        <w:t>Mit Eingabe vom 26. Februar 2025 legte der Beklagte rechtzeitig (vgl. Art. 314 Abs. 2 ZPO sowie Urk. 4/186/1) Berufung (Urk. 1) gegen den Mass-</w:t>
      </w:r>
    </w:p>
    <w:p>
      <w:r>
        <w:t>- 5 - nahmenentscheid vom 12. Februar 2025 (Urk. 2) ein. Mit Verfügung vom</w:t>
      </w:r>
    </w:p>
    <w:p>
      <w:r>
        <w:rPr>
          <w:b/>
        </w:rPr>
        <w:t>E. 2.1</w:t>
      </w:r>
    </w:p>
    <w:p>
      <w:r>
        <w:t>Die Vorinstanz erwog, unentgeltliche Zuwendungen oder Vermögensen- täusserungen, welche der Hinzurechnung nach Art. 208 ZGB unterliegen, stellten irreguläre Vermögensabflüsse dar und seien anhand von Indizien glaubhaft zu ma-</w:t>
      </w:r>
    </w:p>
    <w:p>
      <w:r>
        <w:t>- 11 - chen. Der Beklagte habe als einzigen Anhaltspunkt für das Bestehen solcher Irre- gularitäten die von der Klägerin zwischen Ende Juni 2018 und Mitte Oktober 2020 verbrauchten finanziellen Mittel von insgesamt Fr. 193'590.– angeführt, weitere In- dizien habe er jedoch nicht erwähnt. Für die Prüfung eines irregulären Verhaltens der Klägerin komme es auf den Umfang der ihr zugeflossenen und von ihr ver- brauchten Mittel an (Urk. 2 Erw. 4.3.5.). Werde die Differenz zwischen Einkünften der Klägerin aus Erwerbstätigkeit und Unterhaltsbeiträgen zur Errungenschaft per 16. Oktober 2020 von Fr. 193'590.– auf den Monat umgerechnet, resultiere ein mo- natlicher Betrag von Fr. 7'040.– (Fr. 193'590.– / 27.5 Monate [Dauer von Ende Juni 2018 bis Mitte Oktober 2020]). Gestützt auf die Teilvereinbarung betreffend vorsorgliche Massnahmen vom 15. Dezember 2021 sei der Klägerin für sich und den gemeinsamen Sohn F._____ ab mm.2020 ein familienrechtlicher Bedarf zwi- schen Fr. 8'328.– und Fr. 9'179.– pro Monat angerechnet worden (Urk 4/90). Be- reits im Zeitraum zwischen der Trennung der Parteien am 5. Mai 2018 und dem Beginn der ersten Unterhaltsphase im mm.2020 gemäss Teilvereinbarung vom 15. Dezember 2021 habe die Klägerin ihren Bedarf sowie denjenigen von F._____ mit ihren Einkünften aus Erwerbstätigkeit und den Unterhaltsleistungen des Beklag- ten gedeckt bzw. decken müssen. Dass sie in diesem Zeitraum den erwähnten durchschnittlichen Betrag von Fr. 7'040.– pro Monat verbraucht habe, erscheine durchaus glaubhaft und erstaune nicht. Es gebe daher keine Hinweise auf unent- geltliche Zuwendungen oder Vermögensentäusserungen im Sinne von Art. 208 ZGB (Urk. 2 Erw. 4.3.6.). Sodann sei die finanzielle Situation der beiden Parteien im massgeblichen Zeitraum keineswegs vergleichbar gewesen. So habe sich der Beklagte aufgrund seines mit mehr als Fr. 30'000.– netto im Monat deutlich überdurchschnittlichen Einkommens (unter Hinweis auf Urk. 4/90 und Urk. 4/162 S. 42 f.) und einem in der Klageantwort geltend gemachten familienrechtlichen Be- darf von monatlich Fr. 13'729.– (einschliesslich einer weitaus überdurchschnittli- chen Steuerlast [unter Hinweis auf Urk. 4/162 S. 43]) in weitaus besseren finanzi- ellen Verhältnissen als die Klägerin befunden. Im Übrigen habe der Beklagte im Rahmen der vorsorglichen Massnahmen betreffend Kinderbelange und Unterhalt und in der Klageantwort selbst Zahlungen an Dritte als Teil der Sparquote geltend gemacht (unter Hinweis auf Urk. 4/53 S. 27 ff., Urk. 4/162 S. 30 ff.), weshalb durch-</w:t>
      </w:r>
    </w:p>
    <w:p>
      <w:r>
        <w:t>- 12 - aus konkrete Anhaltspunkte für mögliche Hinzurechnungstatbestände bestanden hätten (Urk. 2 Erw. 4.3.7). 3. Parteivorbringen 3.1. Der Beklagte macht zusammengefasst geltend, er habe um Auskunft durch Edition der klägerischen Kontoauszüge für die Dauer des Güterstandes ab tt. Sep- tember 2016 bis 16. Oktober 2020 (Datum Einreichung der Scheidungsklage) er- sucht, um seine güterrechtlichen Ansprüche und allfällige Hinzurechnungen ge- mäss Art. 208 ZGB prüfen zu können. Allein von Ende Juni 2018 bis am 16. Okto- ber 2020 seien der Klägerin aus ihrem Einkommen und Direktzahlungen des Be- klagten gesamthaft mindestens Fr. 333'360.– zugeflossen (Urk. 1 N 7). Per Stich- tag der güterrechtlichen Auseinandersetzung habe sie eine Errungenschaft von Fr. 139'770.– ausgewiesen. Wofür die Klägerin den Differenzbetrag von Fr. 193'590.– in diesem Zeitraum verwendet habe, sei jedoch nicht ersichtlich. In- dem die Vorinstanz das Editionsgesuch des Beklagten mit der Begründung, dieser habe keine Irregularitäten im Sinne von Hinzurechnungstatbeständen glaubhaft ge- macht, abgewiesen habe, habe sie das Wesen des Informationsanspruchs bezie- hungsweise des Auskunftsrechts nach Art. 170 ZGB verletzt (Urk. 1 N 7 ff.). Schliesslich sei es gerade der Kern des Auskunftsrechts, dass man auf die Infor- mation angewiesen sei, weil der materiell-rechtliche Anspruch ohne die Auskunft nicht bewiesen werden könne. Das gelte unabhängig vom angewandten Beweis- mass. Nur wenn dem behauptungs- und beweisbelasteten Ehegatten Gelegenheit gegeben werde, in diese potentiell entscheidrelevanten Tatsachen Einsicht zu neh- men, könne er abwägen, ob und gegebenenfalls welche Tatsachen und Umstände seines Erachtens relevant und in den Prozess einzubringen sind (Urk. 1 N 10 m.w.H.). Glaubhaft zu machen sei entsprechend lediglich, dass die Auskunft po- tentiell entscheidrelevant sei. Einzige Voraussetzung dürfe also sein, ob Hinzurech- nungstatbestände möglich, mithin nicht von vornherein ausgeschlossen seien (Urk. 1 N 15). Wenn die Vorinstanz festhalte, der Beklagte vermöge „keine Anhalts- punkte dafür glaubhaft zu machen, dass [die Klägerin] […] unentgeltliche Zuwen- dungen oder Vermögensentäusserungen im Sinne von Art. 208 ZGB getätigt hätte“ verlange sie den Nachweis von Hinzurechnungen, welcher jedoch erst durch die</w:t>
      </w:r>
    </w:p>
    <w:p>
      <w:r>
        <w:t>- 13 - anbegehrte Auskunft zu erwarten sei. Indem die Vorinstanz vorausgesetzt habe, dass Hinzurechnungen nicht bloss als möglich, sondern als glaubhaft ausgewiesen würden, habe sie Art. 170 ZGB verletzt (Urk. 1 N 18). 3.2. Mit den Berechnungen der Vorinstanz hinsichtlich des Verbrauchs des Dif- ferenzbetrags durch die Klägerin hat sich der Beklagte in seiner Berufungsschrift nicht auseinandergesetzt. Erst in seiner Stellungnahme zur Berufungsantwort der Klägerin trägt er vor, zwischen der für die Unterhaltsberechnung massgebenden Lebenshaltung einerseits und der güterrechtlichen Auseinandersetzung anderer- seits bestehe kein direkter Zusammenhang (Urk. 12 N 16). Bei den geflossenen Geldern sei klar, dass es der Klägerin grundsätzlich möglich gewesen sei, Zuwen- dungen und/oder Vermögensentäusserungen im Sinne von Art. 208 ZGB vorzu- nehmen (Urk. 12 N 8). Wenn die Klägerin behaupte, sie habe am Stichtag ein Ver- mögen von Fr. 139'000.– angespart, folge daraus, dass sie offensichtlich nicht alle zugeflossenen Mittel verbraucht habe. Vor diesem Hintergrund könne nicht ernst- haft bestritten werden, dass ihr unentgeltliche Zuwendungen und Vermögensen- täusserungen möglich gewesen seien (Urk. 12 N 15). Sodann sei unklar, was die Klägerin damit meine, er wolle mittels seines Auskunftsbegehrens „finanziellen so- wie emotionalen Druck“ auf sie ausüben. Wenn sie ihre Kontoauszüge vorzulegen habe, werde sie dadurch genauso wenig schikaniert wie er [der Beklagte], der dies auf erstes Verlangen getan habe (Urk. 12 N 4). 3.3. Die Klägerin hält dem zusammengefasst entgegen, das vorliegend zu beur- teilende Editionsbegehren sei schikanös und als „fishing expedition“ zu werten. Bei Betrachtung des Auskunftsbegehrens und der Berufung des Beklagten entstehe der Eindruck, er habe die Auskunft einzig verlangt, weil von ihm ebenfalls entspre- chende Auskünfte verlangt worden seien. Es gehe ihm nicht darum, tatsächliche für die güterrechtliche Auseinandersetzung relevante Informationen zu erhalten, sondern er versuche in der Manier „wenn ich muss, musst du auch“, finanziellen sowie emotionalen Druck auf sie auszuüben. Ein wie vorliegend offensichtlich aus blosser Neugier oder Schikane gestelltes Auskunftsbegehren scheitere am Rechts- schutzinteresse (Urk. 9 N 13 f.). Sodann führt die Klägerin aus, die Herangehens- weise der Vorinstanz sei grundsätzlich korrekt, ihr sei aber bei der Berechnung des</w:t>
      </w:r>
    </w:p>
    <w:p>
      <w:r>
        <w:t>- 14 - von ihr (der Klägerin) durchschnittlich verbrauchten monatlichen Betrags insofern ein Fehler unterlaufen, als der Beklagte selbst von einem Zeitraum zwischen dem</w:t>
      </w:r>
    </w:p>
    <w:p>
      <w:r>
        <w:rPr>
          <w:b/>
        </w:rPr>
        <w:t>E. 6</w:t>
      </w:r>
    </w:p>
    <w:p>
      <w:r>
        <w:t>Gemäss Art. 229 Abs. 1 aZPO können neue Tatsachen und Beweismittel nur noch vorgebracht werden, wenn sie ohne Verzug vorgebracht werden und erst nach Abschluss des Schriftenwechsels oder nach der letzten Instruktionsverhand- lung entstanden sind (sog. echte Noven [lit. a]) oder bereits vor Abschluss des Schriftenwechsels oder vor der letzten Instruktionsverhandlung vorhanden waren,</w:t>
      </w:r>
    </w:p>
    <w:p>
      <w:r>
        <w:t>- 8 - aber trotz zumutbarer Sorgfalt nicht vorher vorgebracht werden konnten (sog. un- echte Noven [lit. b]). Entsprechend ergibt sich gestützt auf Art. 229 Abs. 1 aZPO grundsätzlich die Möglichkeit, neue Tatsachen und Beweismittel, welche sich aus den zu erteilenden Auskünften ergeben, in das Verfahren einzubringen, sofern diese ohne Verzug vorgebracht werden. So hat auch die Vorinstanz in ihrer Verfü- gung vom 16. Mai 2025 betreffend die Abweisung des Antrags des Beklagten um Erlass eines Teilurteils festgehalten, dem Beklagten würde im Falle der Gutheis- sung seiner Berufung und Edition der entsprechenden Unterlagen Gelegenheit zur Aufstellung allfälliger neuer/weiterer Behauptungen gegeben, damit diese anläss- lich der Hauptverhandlung bereits vorliegen würden (Urk. 4/196 Erw. 2.3.4.). Dem von der Vorinstanz in Aussicht gestellten Vorgehen ist beizupflichten, handelt es sich doch hinsichtlich allfälliger Erkenntnisse aus den edierten Unterlagen um nach dem Aktenschluss entstandene sog. echte Noven. Werden diese ohne Verzug vor- gebracht, so sind sie grundsätzlich zu berücksichtigen (OFK ZPO-Engler, Art. 229 N 4a). Dass der Beklagte erst im Rahmen der Erstattung der Duplik auf allfällige sich aus den zu edierenden Unterlagen ergebende neue Tatsachen und Beweis- mittel hingewiesen hat, steht dem ebenso wenig entgegen, wie der von der Vor- instanz in der Verfügung vom 16. Mai 2025 – mithin nach Durchführung des zweiten Schriftenwechsels – angebrachte Hinweis (Urk. 4/196 Erw. 2.3.4.). Das Rechts- schutzinteresse des Beklagten an der vorliegend zu beurteilenden Edition von Un- terlagen der Klägerin ist demnach weiterhin vorhanden.</w:t>
      </w:r>
    </w:p>
    <w:p>
      <w:r>
        <w:rPr>
          <w:b/>
        </w:rPr>
        <w:t>E. 7</w:t>
      </w:r>
    </w:p>
    <w:p>
      <w:r>
        <w:t>Sodann ist festzuhalten, dass dem von der Klägerin ins Feld geführten Ent- scheid der hiesigen Kammer vom 4. Mai 2023 (Geschäfts-Nr. LC220014-O) ein nach Aktenschluss gestelltes Editionsbegehren zugrunde lag. Da die um Auskunft ersuchende Partei die Voraussetzungen zur Einbringung von Noven nicht dargelegt hatte bzw. nicht darzulegen vermochte, erwies sich das Auskunftsbegehren als ver- spätet und wurde auf dieses nicht eingetreten (OGer ZH LC220014 vom 4. Mai 2023 E. 4c). Da vorliegend jedoch ein vor Abschluss des zweiten Schriften- wechsels – mithin also vor Eintritt des Aktenschlusses – gestelltes Editionsbegeh- ren zu beurteilen ist, vermag die Klägerin aus dem genannten Entscheid nichts zu ihren Gunsten abzuleiten.</w:t>
      </w:r>
    </w:p>
    <w:p>
      <w:r>
        <w:t>- 9 -</w:t>
      </w:r>
    </w:p>
    <w:p>
      <w:r>
        <w:rPr>
          <w:b/>
        </w:rPr>
        <w:t>E. 8</w:t>
      </w:r>
    </w:p>
    <w:p>
      <w:r>
        <w:t>Gestützt auf das oben Ausgeführte ist festzuhalten, dass es sich bei Erkennt- nissen aus allfällig edierten Unterlagen um sog. echte Noven handelt, welche grundsätzlich zu berücksichtigen sind. III. Materielles 1. Rechtslage des Auskunftsrechts nach Art. 170 ZGB</w:t>
      </w:r>
    </w:p>
    <w:p>
      <w:r>
        <w:rPr>
          <w:b/>
        </w:rPr>
        <w:t>E. 10</w:t>
      </w:r>
    </w:p>
    <w:p>
      <w:r>
        <w:t>Juni 2018 und dem 16. Oktober 2020 ausgehe. So habe der Beklagte vorge- bracht, zwischen dem 25. Juni 2018 und dem 25. September 2020 Direktzahlun- gen an die Klägerin vorgenommen zu haben. Er bestätige somit, dass ein Teil der Zahlungen bereits im Juni 2018 erfolgt sei. Entsprechend entfalle ein Teil des vom Beklagten berechneten Differenzbetrags bereits auf den Juni 2018, weshalb der Differenzbetrag durch 28.5 Monate hätte geteilt werden müssen. Sodann sei der Differenzbetrag nach unten zu korrigieren, weil der 13. Monatslohn 2020 sowie der Oktoberlohn 2020 erst nach dem 16. Oktober 2020 an die Klägerin ausbezahlt wor- den seien. Die der Klägerin insgesamt zugeflossenen Mittel würden sich somit auf Fr. 316'073.– belaufen und nach Abzug der Errungenschaft der Klägerin per 16. Oktober 2020 resultiere ein Differenzbetrag von lediglich Fr. 176'303.–. Divi- diert durch 28.5 Monate belaufe sich der durchschnittlich verbrauchte Betrag auf monatlich Fr. 6'186.– (vor Abzug der Quellensteuern) und liege somit sogar deutlich unter dem von der Vorinstanz festgestellten Bedarf der Klägerin und von F._____ zwischen Fr. 8'832.– und Fr. 9'172.– pro Monat (Urk. 9 N 17). 4. Würdigung 4.1. Zunächst ist auf die Vorbringen des Beklagten einzugehen, wonach lediglich glaubhaft zu machen sei, dass die beantragte Auskunft potentiell entscheidrelevant sei und einzige Voraussetzung hierfür sein dürfe, ob Hinzurechnungstatbestände möglich, mithin nicht von vornherein ausgeschlossen seien (Urk. 1 N 15). Gestützt auf obige Ausführungen unter Erw. 1.2 hat der Beklagte zwar nicht zu beweisen, dass sich aus den von ihm anbegehrten Kontoauszügen Hinweise auf unentgeltli- che Zuwendungen oder Vermögensentäusserungen im Sinne von Art. 208 ZGB er- geben würden, er muss aber entsprechende Hinweise/Indizien zumindest glaubhaft darlegen. Die rein theoretische Möglichkeit, dass sich aus den Kontoauszügen all- fällige Hinweise auf unentgeltliche Zuwendungen oder Vermögensentäusserungen ergeben könnten, genügt für die Begründung eines Auskunftsanspruchs gestützt auf Art. 170 ZGB nicht. Indem die Vorinstanz vorausgesetzt hat, dass Hinzurech- nungen nicht bloss als möglich, sondern als glaubhaft ausgewiesen werden, hat sie</w:t>
      </w:r>
    </w:p>
    <w:p>
      <w:r>
        <w:t>- 15 - Art. 170 ZGB somit nicht verletzt. Es bleibt nachfolgend zu prüfen, ob der Beklagte Hinweise, die auf irreguläre Vermögensabflüsse schliessen liessen, glaubhaft ma- chen konnte. 4.2. Die Vorgehensweise der Vorinstanz, den vom Beklagten genannten Diffe- renzbetrag (insgesamt der Klägerin im fraglichen Zeitraum zugeflossene Mittel [ihr Erwerbseinkommen sowie Unterhaltszahlungen] abzüglich die am Stichtag vorhan- dene Errungenschaft; vgl. Urk. 2 E. 4.3.6.) in Relation zu den Ausgaben der Kläge- rin (Bedarf Klägerin zuzüglich Bedarf des bei ihr wohnhaften Sohns F._____) zu setzen, ist nachvollziehbar und grundsätzlich nicht zu beanstanden. So wurde in der angefochtenen Verfügung nachvollziehbar dargelegt, dass die Klägerin über den Zeitraum von Ende Juni 2018 bis am 16. Oktober 2020 monatlich einen durch- schnittlichen Betrag von Fr. 7'040.– verbraucht hat, wobei der Teilvereinbarung vom 15. Dezember 2021 seitens der Klägerin durchschnittliche Bedarfe von Fr. 5'111.– (Klägerin) sowie von Fr. 3'458.– (F._____), mithin von gesamthaft Fr. 8'569.–, zugrunde lagen (Urk. 4/90). Ausgehend von den genannten durch- schnittlichen familienrechtlichen Bedarfen der Klägerin und von F._____ hätte die Klägerin über den genannten Zeitraum von 27.5 Monaten hinweg also einen Betrag von Fr. 235'647.50 (27.5 Monate x Fr. 8'569.–) verbrauchen „dürfen“ respektive be- liefen sich die Lebenshaltungskosten der Klägerin und von F._____ gemäss der genannten Teilvereinbarung auf diese Summe. Im fraglichen Zeitraum verfügte die Klägerin über Direktzahlungen des Beklagten in Höhe von Fr. 120'000.– (Urk. 9 N 17 unter Hinweis auf Urk. 4/162 N 13) sowie ihr Einkommen aus Erwerbstätig- keit. Dieses setzte sich zusammen aus dem Nettolohn 2018 von Fr. 40'593.– (Urk. 20/3 S. 2), dem Nettolohn 2019 von Fr. 89'532.– (Urk. 20/2 S. 2) und dem Nettolohn 2020 (Januar 2020 bis 16. Oktober 2020), welcher sich wie folgt berech- net: Der Nettolohn 2020 betrug für das gesamte Jahr Fr. 95'126.– (Urk. 48/33). Gemäss Lohnausweis 2020 wurde der Klägerin ein Bruttolohn von insgesamt Fr. 110'045.– ausbezahlt, was 13 monatlichen Raten à Fr. 8'465.– entspricht und auch mit dem auf den einzelnen Lohnabrechnungen angegebenen Bruttolohn übereinstimmt (vgl. Urk. 26/2 und Urk. 48/32). Da der 13. Monatslohn erst per 18. Dezember 2020 aus-</w:t>
      </w:r>
    </w:p>
    <w:p>
      <w:r>
        <w:t>- 16 - gerichtet wurde (Urk. 48/32), die Klägerin am 16. Oktober 2020 also noch nicht über diesen verfügen konnte (auch nicht anteilsmässig), ist dieser im relevanten Zeitraum nicht zu berücksichtigen. Gleichermassen verhält es sich mit dem Okto- berlohn 2020, der erst am 23. Oktober 2020 und damit nach dem Stichtag am 16. Oktober 2020 an die Klägerin ausbezahlt wurde (Urk. 26/2 S. 2). Zu den Vor- bringen der Klägerin, wonach der 13. Monatslohn ebenfalls netto Fr. 7'195.– wie die übrigen Nettomonatslöhne betragen habe, ist anzufügen, dass ihr gemäss Lohnabrechnung Dezember 2020 Fr. 15'045.05 (Dezemberlohn 2020 und 13. Mo- natslohn netto vor Quellensteuerabzug [Urk. 48/32]) ausgerichtet wurden. Aller- dings wurden vom 13. Monatslohn keine Pensionskassenbeiträge abgezogen, da diese Beiträge im monatlichen Pensionskassenabzug von Fr. 653.65 bereits ent- halten waren. Entsprechend betrug der 13. Monatslohn gerundet Fr. 7'849.– (Fr. 7'195.70 + Fr. 653.65 [vgl. Urk. 48/32]). Da der im Lohnausweis 2020 ausge- wiesene „Profit Sharing Bonus“ in Höhe von netto Fr. 335.– (Urk. 48/33) in den Lohnabrechnungen September 2020 bis Dezember 2020 nicht aufgeführt ist, ist davon auszugehen, dass er der Klägerin zuvor, mithin im vorliegend relevanten Zeitraum, zugeflossen ist. Entsprechend ist es angezeigt, vom Nettolohn 2020 drei Nettomonatslöhne von Fr. 7'195.– sowie den 13. Monatslohn von Fr. 7'849.– in Ab- zug zu bringen: Fr. 95'126.– - 3 x Fr. 7'195.– - Fr. 7'849.– = Fr. 65'692.–. Zusammen mit den Nettolöhnen 2018 und 2019 verfügte die Klägerin im genannten Zeitraum also über ein Einkommen von Fr. 195'817.– ([Fr. 40'593.– + Fr. 89'532.– + Fr. 65'692.–). Unter Hinzurechnung der Direktzahlungen des Beklagten beläuft sich der ihr zur Verfügung gestandene Betrag auf insgesamt Fr. 315'817.– (Fr. 195'817.– + Fr. 120'000.–) bzw. auf Fr. 11'484.– pro Monat (Fr. 315'817.– / 27.5 Monate). Wird die per Stichtag vorhandene Errungenschaft der Klägerin von Fr. 139'770.– davon in Abzug gebracht, ergibt sich, dass die Klägerin zwischen Ende Juni 2018 und dem 16. Oktober 2020 einen Betrag von Fr. 176'047.– (Fr. 315'817.– - Fr. 139'770.–) bzw. von monatlich Fr. 6'402.– (Fr. 176'047.– / 27.5 Monate) für ihre Lebenshaltungskosten und diejenigen des Sohns F._____ verbraucht hat. Im Rahmen der Teilvereinbarung vom 15. Dezember 2021 wurde ihr für sich und F._____ jedoch ein Bedarf von insgesamt Fr. 235'647.50 bzw. von</w:t>
      </w:r>
    </w:p>
    <w:p>
      <w:r>
        <w:t>- 17 - monatlich durchschnittlich Fr. 8'569.– (Fr. 235'647.50 / 27.5 Monate) angerechnet (Urk. 4/90). 4.3. Daraus erhellt, dass bei der Klägerin im fraglichen Zeitraum keine unerklär- lich hohen finanziellen Mittel abgeflossen sind; im Gegenteil hat sie für den Lebens- unterhalt von sich und des Sohns F._____ einen tieferen Betrag benötigt, als in der Teilvereinbarung vorgesehen: Der vom Beklagten monierte Differenzbetrag in Höhe von Fr. 193'590.– könnte in Anbetracht der vorstehenden Berechnungen so- gar noch um Fr. 42'057.50 höher liegen (Fr. 235'647.50 - Fr. 193'590.–) und die per Stichtag vorhandene Errungenschaft der Klägerin entsprechend geringer ausfallen. Dazu macht der Beklagte im vorliegenden Verfahren keine Ausführungen. Er äus- serte sich insbesondere nicht dazu, weshalb die Klägerin die ihr zugeflossenen Mit- tel (Einkommen und Direktzahlungen des Beklagten) im Umfang des effektiven Dif- ferenzbetrags von Fr. 193'590.– entgegen der Vorinstanz nicht für den Lebensun- terhalt von sich und F._____ verwendet haben soll. Die Argumentation, es hätte selbstverständlich sein müssen, dass auch die Klägerin von sich aus Transparenz schafft, damit die güterrechtlichen Ansprüche der Parteien möglichst rasch und ein- fach festgestellt werden können (Urk. 12 N 16), genügt nicht. Insgesamt ist der Be- klagte seiner Begründungspflicht nicht hinreichend nachgekommen. Überdies kann aus dem Umstand, dass der Beklagte selbst zur Edition von Unterlagen verpflichtet wurde, kein „Gegenrecht“ abgeleitet werden, wonach die Klägerin zur Edition be- liebiger Unterlagen aufgefordert werden könnte. 4.4. Gestützt auf die vorstehenden Ausführungen ist mit der Klägerin davon aus- zugehen, dass sie sparsam gelebt und nicht sämtliche ihr zugeflossenen finanziel- len Mittel (eigenes Einkommen und Direktzahlungen des Beklagten) zur Bestrei- tung des Lebensunterhalts von sich und F._____ verbraucht hat (Urk. 9 N 17). Hin- weise bzw. Indizien, welche auf unentgeltliche Zuwendungen oder Vermögensen- täusserungen schliessen liessen, sind vorliegend nicht ersichtlich und konnten vom Beklagten auch nicht glaubhaft gemacht werden. Die beantragte Edition erweist sich daher als für die Geltendmachung der güterrechtlichen Ansprüche des Beklag- ten als nicht notwendig. Vor diesem Hintergrund bleibt irrelevant, ob die Vorinstanz den vom Beklagten vorgebrachten Differenzbetrag von Fr. 193'590.– durch</w:t>
      </w:r>
    </w:p>
    <w:p>
      <w:r>
        <w:t>- 18 - 28.5 Monate (statt durch 27.5 Monate) hätte dividieren müssen, wie es die Klägerin vorbringt (Urk. 9 N 17). 4.5. Nach dem Gesagten erweist sich die Berufung als unbegründet, ist abzu- weisen und der vorinstanzliche Entscheid ist zu bestätigen. IV. Kosten- und Entschädigungsfolgen 1. Abschliessend sind die Kosten- und Entschädigungsfolgen des Berufungs- verfahrens zu regeln. Die Vorinstanz legte für die angefochtene Verfügung keine Kosten- und Entschädigungsfolgen fest (Urk. 2; Art. 104 Abs. 1 ZPO). Die Ent- scheidgebühr für das Berufungsverfahren ist gestützt auf § 6 Abs. 1 i.V.m. § 5 Abs. 1, § 8 Abs. 1 und § 12 Abs. 1 und 2 GebV OG auf Fr. 3'000.– festzusetzen. Die Gerichtskosten sind ausgangsgemäss dem Beklagten aufzuerlegen und mit dem von ihm geleisteten Kostenvorschuss in der Höhe von Fr. 3'000.– zu verrech- nen (Art. 106 Abs. 1 ZPO). 2. Sodann ist der Beklagte zu verpflichten, der Klägerin antragsgemäss (Urk. 9 S. 12 und Urk. 14 S. 5) eine Parteientschädigung zu bezahlen. Diese ist gestützt auf § 13 Abs. 1 in Verbindung mit § 5 Abs. 1, § 6 Abs. 1, § 9 und § 11 Abs. 1 Anw- GebV eine Parteientschädigung von Fr. 4'000.– (inklusive Auslagen und Mehrwert- steuer)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