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LY240031 vom 7. November 2024</w:t>
      </w:r>
    </w:p>
    <w:p>
      <w:r>
        <w:t>ZH Obergericht, 2024-11-07, DE</w:t>
      </w:r>
    </w:p>
    <w:p>
      <w:r>
        <w:rPr>
          <w:b/>
        </w:rPr>
        <w:t xml:space="preserve">Quelle: </w:t>
      </w:r>
      <w:r>
        <w:t>https://mcp.opencaselaw.ch/entscheid/zh_obergericht_LY240031</w:t>
      </w:r>
    </w:p>
    <w:p>
      <w:r>
        <w:t>FR: ZH_OBERGERICHT LY240031 du 7 novembre 2024</w:t>
      </w:r>
    </w:p>
    <w:p>
      <w:r>
        <w:t>IT: ZH_OBERGERICHT LY240031 del 7 novembre 2024</w:t>
      </w:r>
    </w:p>
    <w:p>
      <w:pPr>
        <w:pStyle w:val="Heading2"/>
      </w:pPr>
      <w:r>
        <w:t>Erwägungen</w:t>
      </w:r>
    </w:p>
    <w:p>
      <w:r>
        <w:rPr>
          <w:b/>
        </w:rPr>
        <w:t>E. 1</w:t>
      </w:r>
    </w:p>
    <w:p>
      <w:r>
        <w:t>Die Parteien sind die Eltern von C._____, geboren am tt.mm.2019. Mit Ur- teil des Bezirksgerichts Hinwil vom 31. August 2022 (Geschäfts-Nr. FE220046-E) wurden die Parteien geschieden. C._____ wurde unter der gemeinsamen elterli- chen Sorge der Parteien belassen und unter die alleinige Obhut der Klägerin und Berufungsbeklagten (fortan Klägerin) gestellt. Für den Beklagten und Berufungs- kläger (fortan Beklagter), der seinen Wohnsitz vor der Scheidung nach D._____ in E._____, Italien, verlegt hatte, wurde eine Kontaktregelung zu C._____ festgelegt. Zudem wurde die mit Entscheid der KESB Bezirk Hinwil (nachfolgend KESB) vom</w:t>
      </w:r>
    </w:p>
    <w:p>
      <w:r>
        <w:rPr>
          <w:b/>
        </w:rPr>
        <w:t>E. 6</w:t>
      </w:r>
    </w:p>
    <w:p>
      <w:r>
        <w:t>Letztlich wehrt sich der Beklagte gegen die Abweisung seines Antrags, der Klägerin sei es zu verbieten, C._____ auf Internetplattformen "aufzuschalten" (Urk. 1 Berufungsantrag 1; Urk. 6/68 S. 2 Antrag 5). Der Beklagte begründete sei- nen Antrag vor Vorinstanz damit, dieser entspringe der Sorge, dass C._____ in geordneten Verhältnissen aufwachse und sie nicht "als Instrument versilbert" werde (Urk. 6/68 S. 6). Berufungsweise bringt er vor, es scheine auf der Hand zu liegen, dass er nicht wolle, dass seine Tochter auf F._____ [Plattform] unter dem Fake- Namen G._____ erscheine (Urk. 1 Rz. 21). Der Beklagte substantiiert seine Be-</w:t>
      </w:r>
    </w:p>
    <w:p>
      <w:r>
        <w:t>- 15 - hauptung nicht. Er zeigt nicht auf, inwiefern die Veröffentlichung von Fotos resp. Beiträgen über C._____ in den sozialen Medien dazu führen könnte, dass C._____ nicht mehr in geordneten Verhältnissen aufwächst oder "als Instrument versilbert" wird. Alleine durch die Veröffentlichung von Fotos oder Beiträgen ist eine Kinds- wohlgefährdung in dem Sinne, wie sie der Beklagte sinngemäss geltend macht, jedenfalls nicht ersichtlich. Die Frage, ob die Veröffentlichung von Bildern eines Kindes in den sozialen Medien sinnvoll ist, muss in diesem Zusammenhang nicht beantwortet werden.</w:t>
      </w:r>
    </w:p>
    <w:p>
      <w:r>
        <w:rPr>
          <w:b/>
        </w:rPr>
        <w:t>E. 7</w:t>
      </w:r>
    </w:p>
    <w:p>
      <w:r>
        <w:t>Für das Berufungsverfahren werden keine Parteientschädigungen zugespro- chen.</w:t>
      </w:r>
    </w:p>
    <w:p>
      <w:r>
        <w:rPr>
          <w:b/>
        </w:rPr>
        <w:t>E. 8</w:t>
      </w:r>
    </w:p>
    <w:p>
      <w:r>
        <w:t>Schriftliche Mitteilung an die Parteien und die Kindsvertreterin, an die Klägerin und Kindsvertreterin unter Beilage der Doppel resp. Kopien von Urk. 1, 3, 4/2- 7, 8 – 13,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98 BGG.</w:t>
      </w:r>
    </w:p>
    <w:p>
      <w:r>
        <w:t>- 18 - Es handelt sich um eine nicht vermögensrechtliche Angelegenheit. Die Beschwerde an das Bundesgericht hat keine aufschiebende Wirkung. Hinsichtlich des Fristenlaufs gelten die Art. 44 ff. BGG. Zürich, 7. November 2024 Obergericht des Kantons Zürich I. Zivilkammer Die Gerichtsschreiberin: MLaw D. Frangi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