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LY240008 vom 15. Mai 2024</w:t>
      </w:r>
    </w:p>
    <w:p>
      <w:r>
        <w:t>ZH Obergericht, 2024-05-15, DE</w:t>
      </w:r>
    </w:p>
    <w:p>
      <w:r>
        <w:rPr>
          <w:b/>
        </w:rPr>
        <w:t xml:space="preserve">Quelle: </w:t>
      </w:r>
      <w:r>
        <w:t>https://mcp.opencaselaw.ch/entscheid/zh_obergericht_LY240008</w:t>
      </w:r>
    </w:p>
    <w:p>
      <w:r>
        <w:t>FR: ZH_OBERGERICHT LY240008 du 15 mai 2024</w:t>
      </w:r>
    </w:p>
    <w:p>
      <w:r>
        <w:t>IT: ZH_OBERGERICHT LY240008 del 15 maggio 2024</w:t>
      </w:r>
    </w:p>
    <w:p>
      <w:pPr>
        <w:pStyle w:val="Heading2"/>
      </w:pPr>
      <w:r>
        <w:t>Erwägungen</w:t>
      </w:r>
    </w:p>
    <w:p>
      <w:r>
        <w:rPr>
          <w:b/>
        </w:rPr>
        <w:t>E. 1</w:t>
      </w:r>
    </w:p>
    <w:p>
      <w:r>
        <w:t>Die Parteien sind verheiratet und haben zwei gemeinsame Kinder C._____, geb. am tt.mm.2012 und D._____, geb. am tt.mm.2015. Am 26. Oktober 2020 machte der Kläger und Berufungskläger (nachfolgend: Berufungskläger) beim Be- zirksgericht Dielsdorf (nachfolgend: Vorinstanz) ein Eheschutzverfahren hängig. Mit Urteil vom 8. Dezember 2021 stellte die Vorinstanz beide Kinder für die Dauer des Getrenntlebens unter die alleinige Obhut der Berufungsbeklagten und legte das Besuchsrecht des Berufungsklägers fest (act. 6/4 Dispositiv-Ziff. 2, 4, 5). Für die Kinder wurde eine Beistandschaft nach Art. 308 Abs. 2 ZGB angeordnet</w:t>
      </w:r>
    </w:p>
    <w:p>
      <w:r>
        <w:t>- 6 - (act. 6/4 Dispositiv-Ziff. 6, 7) und der Berufungskläger wurde zur Zahlung von Un- terhaltsbeiträgen zugunsten der Kinder und der Berufungsbeklagten verpflichtet (act. 6/4 Dispositiv-Ziff. 8, 9). Dagegen erhob der Berufungskläger Berufung beim Obergericht des Kantons Zürich. In seinem Beschluss und Urteil vom 13. Juli 2023 – soweit vorliegend interessierend – stellte das Obergericht die Kinder ab dem 1. August 2023 unter die alternierende Obhut der Parteien und legte den Be- treuungsanteil der Beklagten auf rund 33% fest (OGer ZH LE220048 vom 13. Juli 2023). Eine dagegen vom Berufungskläger er- hobene Beschwerde ist vor Bundesgericht hängig.</w:t>
      </w:r>
    </w:p>
    <w:p>
      <w:r>
        <w:rPr>
          <w:b/>
        </w:rPr>
        <w:t>E. 1.1</w:t>
      </w:r>
    </w:p>
    <w:p>
      <w:r>
        <w:t>Die Vorinstanz stellte in der angefochtenen Verfügung die rechtlichen Grundlagen und massgeblichen Kriterien für die Abänderung vorsorglicher bzw. eheschutzrechtlicher Massnahmen zutreffend dar (act. 5 E. 3.1.1.). Da diese Er- wägungen vom Berufungskläger nicht in Frage gestellt werden, kann auf eine Wiederholung verzichtet und darauf verwiesen werden.</w:t>
      </w:r>
    </w:p>
    <w:p>
      <w:r>
        <w:rPr>
          <w:b/>
        </w:rPr>
        <w:t>E. 1.2</w:t>
      </w:r>
    </w:p>
    <w:p>
      <w:r>
        <w:t>In der angefochtenen Verfügung erwog die Vorinstanz, dass der Beru- fungskläger einerseits im Wille der Kinder und andererseits in den vor Vorinstanz thematisierten Vorfällen vom 27. Oktober 2023, sowie vom 3. und 17. November 2023 eine wesentliche Veränderung erblicke. Sie verneinte, dass gestützt auf diese beiden Punkte eine wesentliche Veränderung eingetreten sei (act. 5 E. 3.2.9., E. 3.2.11.). Jedoch sei zu berücksichtigen, dass die im oberinstanzli- chen Eheschutzentscheid festgelegte Betreuungsregelung bisher nicht umgesetzt werden konnte und es seit dem 1. August 2023 nie zu einer regelmässigen Be- treuung der Kinder durch die Berufungsbeklagte gekommen sei. Dieser geringe und unregelmässige Kontakt der Kinder zur Berufungsbeklagten sei nicht verein- bar mit dem Kindswohl, weshalb die Betreuungsregelung anzupassen sei (act. 5 E. 3.2.12., E. 3.3.).</w:t>
      </w:r>
    </w:p>
    <w:p>
      <w:r>
        <w:t>- 10 - Die vorinstanzlichen Erwägungen, weshalb eine wesentliche Veränderung gestützt auf die besagten Vorfälle zu verneinen, aufgrund der geringen und unre- gelmässigen Betreuung der Kinder durch die Berufungsbeklagte seit Erlass des oberinstanzlichen Eheschutzurteils jedoch zu bejahen sei, werden vom Beru- fungskläger nicht in Frage gestellt . Die diesbezüglichen Erwägungen der Vorinstanz (act. 5 E. 3.2.9. und 3.2.11.), auf welche zur Vermeidung von Wieder- holungen verwiesen werden kann, vermögen denn auch inhaltlich zu überzeu- gen., In der Folge ist somit einzig zu prüfen, ob zu Recht eine wesentliche Verän- derung gestützt auf den Kindswillen verneint wurde (vgl. E. III.1.3. unten), ob die in den Schreiben vom 21. März 2024 und 12. April 2024 geltend gemachten Tat- sachenbehauptungen eine wesentliche Veränderung darstellen (vgl. E. III.1.4.) und ob die vorinstanzliche Anpassung der Betreuungsregelung korrekt ist (vgl. E. III.1.5.). 1.3.1. Punkto Willen der Kinder hielt die Vorinstanz einleitend fest, aus der Kin- desanhörung vom 25. Januar 2023 am Obergericht ergebe sich, dass beide Kin- der gerne beim Berufungskläger wohnen und mehr Zeit mit ihm verbringen möch- ten. Sie hätten jedoch auch den Wunsch geäussert, an den Wochenenden oder am Mittwochnachmittag Zeit mit der Berufungsbeklagten zu verbringen. Auch die Beiständin halte in ihrem Schreiben fest, dass zwischen den Kindern und beiden Elternteilen eine gute Beziehung bestehe (act. 5 E. 3.2.2.). Anhaltspunkte dafür, dass sich an diesem Willen der Kinder oder an der Beziehung der Kinder zu den Elternteilen etwas Wesentliches verändert habe, lägen nicht vor. Die Sprachnach- richten seien Ausfluss des Loyalitätskonflikts, für dessen Entwicklung oder Ver- stärkung Anzeichen erkennbar seien (act. 5 E. 3.2.3.). Es müsse davon ausge- gangen werden, dass die Kinder mitbekommen, dass beide Elternteile die vom Obergericht festgelegte Betreuungsregelung ablehnen – dies aufgrund des tief- greifenden Konflikts und der Vehemenz, mit welcher die Parteien die Regelung ablehnen. Ferner würden beide Parteien die Kinder stark in die Betreuung einbe- ziehen und ihnen Entscheidungsrechte auferlegen. Die Kinder würden unmittelbar in den Konflikt miteinbezogen und müssten sich mit den gegenteiligen Positionen der Elternteile auseinandersetzen (act. 5 E. 3.2.4., E. 3.2.5.).</w:t>
      </w:r>
    </w:p>
    <w:p>
      <w:r>
        <w:t>- 11 - Dass ein solcher Loyalitätskonflikt die Aussagen von Kindern beeinflusse, sei gerichtsnotorisch (act. 5 E. 3.2.5.; detailliert wiedergegeben in E. III.1.3.3. un- ten) und sowohl die Sprachnachrichten, welche die Kinder beim Berufungskläger aufnehmen, als auch das Verhalten der Kinder am 3. November 2023 würde dazu passen (act. 5 E. 3.2.5., E. 3.2.6.). Auch würden die Sprachnachrichten selber Auffälligkeiten hinsichtlich Formulierung, Aufbau und Wortwahl aufweisen (act. 5 E. 3.2.7.). Ferner habe die in der Sprachnachricht kommunizierte ablehnende Hal- tung der Kinder nicht auf eigenen Erfahrungen mit der neuen Betreuungsregelung basieren können, da die Sprachnachrichten der Kinder bereits begonnen hatten, bevor die vom Obergericht festgelegte Betreuungsregelung überhaupt einmal um- gesetzt wurde (act. 5 E. 3.2.9.). Gestützt darauf zog die Vorinstanz den Schluss, die in Form der Sprach- nachrichten oder gegenüber dem Kläger gemachten Aussagen der Kinder seien keine wesentliche Veränderung ihres Wunschs bzw. Willens, sondern Ausfluss des seit Erlass des Obergerichtsentscheids entstandenen oder verstärkten Loyali- tätskonflikts (act. 5 E. 3.2.). 1.3.2. Dagegen bringt der Berufungskläger vor, die Erwägungen der Vorinstanz würden beweisen, dass diese die konkrete Sache entweder nicht verstehe oder zumindest nicht ernst nehme, die Wünsche und Interessen der Kinder nicht er- kenne und die Unterstellungen gegen ihn unhinterfragt und ohne Begründung übernehme. Der Vorwurf der unterbewussten Beeinflussung habe von Personen, welche die Kinder noch nie gesehen hätten, zu unterbleiben (act. 2 Rz. 35). Dass die Sprachnachrichten der Kinder mehrheitlich mit seinen rechtlichen Begehren übereinstimmen, sei darauf zurückzuführen, dass er ihren Wunsch durchzusetzen versuche (act. 2 Rz. 36). Hinsichtlich der weiteren Begebenheiten, in denen sich gemäss der Vorinstanz der Loyalitätskonflikt wiederspiegle bzw. in denen das Verhalten der Kinder den Ausflüssen eines Loyalitätskonflikts entspreche, führt der Berufungskläger was folgt ins Feld: Am Abend des 3. Novembers 2023 hätten die Kinder genau gewusst, wie sie sich zu verhalten hätten, um der Berufungsbe- klagten keine Probleme zu bescheren. Das Verhalten der Kinder sei unhinterfragt als kindergerecht sowie "echt" und – anders als die Sprachnachrichten – nicht als</w:t>
      </w:r>
    </w:p>
    <w:p>
      <w:r>
        <w:t>- 12 - vom Loyalitätskonflikt gesteuert betrachtet worden (act. 2 Rz. 40). Zudem seien die Formulierungen der Sprachnachrichten völlig falsch interpretiert worden. Bei einem Telefon an ihn müssten sich die Kinder nicht vorbereiten und nichts be- gründen, da sie wüssten, dass auf ihre Wünsche eingegangen werde. Bei den Sprachnachrichten an die Berufungsbeklagte müssten sich die Kinder dagegen vorab überlegen, wie sie dieser erklären könnten, dass sie nicht zu ihr kommen möchten. Die Erklärungen würden immer von den Kindern selbst stammen und primär für den Empfänger formuliert sein, was bei der Berufungsbeklagten schwieriger sei, als bei ihm (act. 2 Rz. 41 f.). Zu schlussfolgern, dass die erste ab- lehnende Sprachnachricht der Kinder gar nicht auf deren Erfahrungen habe beru- hen können, sei weltfremd. Die Kinder hätten nämlich die Umstände bei der Beru- fungsbeklagten gekannt und damit bereits negative Erfahrungen gemacht (act. 2 Rz. 37 – 39). 1.3.3. Die vorinstanzlichen Erwägungen, weshalb sich seit dem oberinstanzlichen Eheschutzentscheid bei den Kindern ein Loyalitätskonflikt entwickelt bzw. ver- stärkt habe, werden vom Berufungskläger nicht in Frage gestellt (vgl. act. 5 E. 3.2.3. – 3.2.5.) und überzeugen. Auch unterlässt er es, sich mit den vorinstanz- lichen Ausführungen, wie sich ein solcher Loyalitätskonflikt auf die Aussagen von Kindern auswirkt, und der diesbezüglich referenzierten Rechtsprechung (act. 5 E. 3.2.5. m.H.a. OGer ZH LY220034 vom 15. September 2022 E. 3.6.2), ausein- anderzusetzen bzw. aufzuzeigen, inwiefern diese mangelhaft bzw. fehlerhaft seien. So führte die Vorinstanz mit Verweis auf einschlägige Rechtsprechung aus, dass Kinder, die sich in einem Loyalitätskonflikt befänden, dazu neigten, demjeni- gen Elternteil, bei dem sie sich gerade aufhielten, diejenigen Dinge zu sagen, von denen sie wissen oder spüren, dass sie diesem Elternteil wichtig seien. Entspre- chend passe es, dass die Kinder in den Sprachnachrichten, die sie beim Beru- fungskläger aufnehmen, eine Betreuung durch die Berufungsbeklagte ablehnen würden, da dies dem Wunsch des Berufungsklägers entspreche. Entgegen den Ausführungen des Berufungsklägers wurde folglich nicht erwogen, die Kinder wür- den bloss sagen, was der Berufungskläger von ihnen verlangt bzw. hören will. Eine Instrumentalisierung oder bewusste Beeinflussung der Kinder durch den Be-</w:t>
      </w:r>
    </w:p>
    <w:p>
      <w:r>
        <w:t>- 13 - rufungskläger hat die Vorinstanz vielmehr ausdrücklich nicht bejaht (act. 5 E. 3.2.5.). Punkto 3. November 2023 übersieht der Berufungskläger einerseits, dass das Verhalten der Kinder am Abend im Kontext des Tagesablaufs gewürdigt wurde: Die Vorinstanz stellte fest, dass die Kinder zuerst in einer Sprachnachricht sagten, sie möchten nicht zur Berufungsbeklagten gehen, C._____ bei der Abho- lung noch eine Ablehnungshaltung zeigte, die Polizeipatrouille am Abend bei der Berufungsbeklagten indes zufrieden wirkende und bastelnde Kinder vorfand. Die Vorinstanz schlussfolgerte daraus, dass, sobald die Kinder bei der Berufungsbe- klagten waren, keine Ablehnungshaltung mehr feststellbar gewesen war. Anderer- seits verneinte die Vorinstanz Indizien für eine Inszenierung. Ein unhinterfragtes Betrachten des Verhaltens ist damit entgegen dem Berufungskläger zu verneinen. Betreffend die Sprachnachrichten hat die Vorinstanz festgehalten, es handle sich nicht um Formulierungen, die bei einer freien, unbeeinflussten Willensäusse- rung von Kindern im entsprechenden Alter zu erwarten wären. Das trifft zu. Wie die Vorinstanz (a.a.O.) erwogen hat, besteht ein auffällig argumentativer Aufbau der Sprachnachrichten ("Erstens…", "Plus…") und eine aussergewöhnliche Wort- wahl (mehrfache Verwendung des Wortes "akzeptieren", allerdings mit falscher Aussprache). Selbst wenn sich, wie es der Berufungskläger empfindet, die Kinder bei Nachrichten an die Berufungsbeklagte, anders als bei Nachrichten an ihn, ge- wissenhaft vorbereiten müssten, so wäre damit keineswegs erklärbar, weshalb die Kinder bei Nachrichten an die Berufungsbeklagte Fremdwörter gebrauchen, die sie falsch aussprechen. Es ist nicht zu beanstanden, wenn die Vorinstanz fest- hielt, gestützt darauf entstehe der Eindruck, dass die Kinder sehr bewusst ver- suchten, die "richtigen" Sätze zu sagen. Es kann mit der Vorinstanz durchaus ge- schlossen werden, dass die Aussagen vom Loyalitätskonflikt geprägt sind und nicht den frei gebildeten Kindswillen wiederspiegeln. Dass sich die Auswirkungen des Loyalitätskonflikts primär bei Sprachnachrichten zeigen, die beim Berufungs- kläger aufgenommen wurden, ist nicht ausschlaggebend. Der Berufungskläger übersieht ferner, dass bei den vorinstanzlichen Erwägungen unter E. 3.2.8. der Fokus auf den fehlenden Erfahrungen mit der oberinstanzlichen Betreuungsrege-</w:t>
      </w:r>
    </w:p>
    <w:p>
      <w:r>
        <w:t>- 14 - lung liegt. Folglich sind die vom Berufungskläger vorgebrachten Ereignisse bzw. geltend gemachten Erfahrungen (act. 2 Rz. 38 – 40, Rz. 43 – 45) nicht einschlä- gig, da auch damals die oberinstanzliche Betreuungsregelung nicht praktiziert wurde. 1.3.4. Die Vorinstanz hat damit zu Recht eine wesentliche Veränderung des Kindswillens verneint. 1.4.1. Mit Schreiben vom 21. März 2024 und vom 12. April 2024 wandte sich der Berufungskläger an die Rechtsmittelinstanz (act. 10 ff.). Er sei am 18. März 2023 überfallen worden: Jemand, der behauptet habe, es käme eine Postzustellung, habe ihm Pfefferspray ins Gesicht gesprüht, ihn niedergeschlagen und die Woh- nung verwüstet. Bereits eine Woche davor sei in sein Keller eingebrochen und der Tresor gestohlen worden. Auch bei seinen Eltern sei eingebrochen worden. Die Berufungsbeklagte sitze derzeit in Untersuchungshaft. Er selber habe das Spital verlassen können, wohne mit den Kindern jedoch zurzeit nicht in der Wohnung. Dies bestätige, dass die Berufungsbeklagte oft unberechenbar agiere und ihre Emotionen nicht im Griff habe, was abzuklären sei. Er sei nicht mehr bereit, die Kinder der Berufungsbeklagten zu überlassen. 1.4.2. Sofern der Berufungskläger mit diesen Ausführungen um Begutachtung der Berufungsbeklagten ersuchen wollte, ist darauf nicht einzutreten (vgl. E. II. 2.2. oben). Im Falle, dass der Berufungskläger geltend machen wollte, aufgrund der behaupteten Vorkommnisse sei die Obhuts- und Betreuungsregelung anzupas- sen, ist ihm nicht zu folgen: Im eingereichten Schreiben wird der Berufungskläger über seine Rechte in einer u.a. gegen die Berufungsbeklagten wegen Raub etc., begangen am 4. März 2024 bis 15. März 2024, geführten Strafuntersuchung infor- miert (act. 12/1). Ein Bezug zum geltend gemachten Ereignis vom 18. März 2024 besteht nicht. Ferner ist weder aus dem geltend gemachten Vorfall vom 18. März 2024 – für welchen notabene die Urheberschaft resp. der Bezug zur Berufungsbe- klagten offen ist – noch aus der offenbar laufenden Strafuntersuchung gegen die Berufungsbeklagte auf eine Gefährdung des Kindeswohls zu schliessen. Anders wäre es etwa, wenn die Berufungsbeklagte für längere Zeit in Untersuchungshaft sässe und so faktisch eine Kinderbetreuung durch sie unmöglich wäre. Solcherlei</w:t>
      </w:r>
    </w:p>
    <w:p>
      <w:r>
        <w:t>- 15 - macht der Berufungskläger indes nicht geltend. Eine wesentliche Veränderung, aufgrund welcher die Betreuung durch die Berufungsbeklagte anzupassen wäre, ist demnach zu verneinen. Auch insofern ist die Berufung abzuweisen. 1.5.1. Es bleibt die vorinstanzliche Anpassung der Betreuung durch die Beru- fungsbeklagte zu überprüfen. Mit der Anpassung bezweckte die Vorinstanz eine regelmässige Umsetzung der Betreuungsregelung sowie eine Reduktion des Kon- fliktpotentials (act. 5 E. 3.3.1.). Im Rahmen eines schrittweisen Wiederaufbaus der Betreuung durch die Berufungsbeklagte und dies auch unter der Woche, sei im Zwei-Wochen-Rhythmus eine Betreuung von Mittwoch auf Donnerstag einzube- ziehen (act. 5 E. 3.3.2.). Die vom Obergericht gewählte Hol-und-Bring-Regelung habe sich nicht bewährt, sondern stelle einen grossen Konfliktpunkt dar. Da sich die Beklagte bereit erklärt habe, das Holen der Kinder zu übernehmen und da- durch einerseits Diskussionen verhindert und andererseits Begegnungen sowie Konfliktpotential zwischen den Parteien reduziert werden könnten, werde die Be- rufungsbeklagte verpflichtet, die Kinder von der Schule abzuholen bzw. in die Schule zu bringen (act. 5 E. 3.3.4.). 1.5.2. Gegen eine Betreuung der Kinder durch die Berufungsbeklagte von Mitt- woch bis Donnerstag bringt der Berufungskläger vor, die Kinder sollten – auch nach ihrer Auffassung – von ihm aus zur Schule gehen, damit sie mit ihm lernen könnten (act. 2 Rz. 52, Rz. 59, Rz. 61). Das Abholen per Schulschluss sei unsin- nig, wenn die Schule nicht gleichzeitig für die Kinder ende, was zurzeit am Mitt- woch und Freitag der Fall sei (m.V.a. act. 4/12, 4/13 [act. 2 Rz. 53]). Auch könnte eine entsprechende Regelung sich mit potentiellen Hobbies überschneiden (act. 2 Rz. 54, Rz. 61) und in F._____ seien die Kinder, im Gegensatz zu E._____, nicht vernetzt (act. 2 Rz. 61, Rz. 62). Die Alltagsstruktur solle möglichst einfach gehal- ten werden (act. 2 Rz. 64). Punkto Übergabe macht der Berufungskläger geltend, die Übergabe von einem Elternteil an den anderen sei schon oft und an sich pro- blemlos gemacht worden (act. 2 Rz. 56). Bei einer Übergabe bei der Schule wä- ren die Kinder der Berufungsbeklagten schutzlos ausgeliefert und Letztere könnte ihr Besuchsrecht erzwingen (act. 2 Rz. 57, Rz. 60). Die Kinder seien deshalb bei</w:t>
      </w:r>
    </w:p>
    <w:p>
      <w:r>
        <w:t>- 16 - ihm zu Hause am Abend zu übergeben (act. 2 Rz. 55, Rz. 59 f.), wobei die Wün- sche der Kinder zu beachten seien (act. 2 Rz. 65). 1.5.3. Der Vorinstanz ist zuzustimmen, dass die Betreuung durch die Beklagte un- ter der Woche wieder aufzubauen ist, was auch dem von den Kindern anlässlich der Anhörung geäusserten Wunsch entspricht, am Mittwochnachmittag Zeit mit der Berufungsbeklagten verbringen zu können (vgl. E. III.1.3.1. oben). Dies über- wiegt gegenüber den vom Berufungskläger geltend gemachten Argumenten. Die Betreuung der Kinder durch die Berufungsbeklagte in ungeraden Kalenderwochen am Mittwoch ab Schulschluss bis Donnerstag, Schulbeginn, ist zu bestätigen. Die angerufene Rechtsmittelinstanz geht unter Verweis auf die einschlägigen Akten- stellen (act. 6/13 Rz. 11; act. 6/19 Rz. 31, Rz. 36; erstinstanzliches Prot. S 16 f., S. 36 f.) mit der Vorinstanz einher, dass die oberinstanzliche Hol-und-Bring-Rege- lung nicht funktioniert hat und einen Konfliktpunkt darstellt. Das Abholen von der Schule bzw. das Bringen zur Schule ist deshalb zu bestätigen. Da die Kinder noch jung sind und der Paarkonflikt, der auch auf die Elternebene übergreift, zwischen den Parteien sehr intensiv ist, ist die Entscheidung über die Betreuungsregelung nicht den Kindern aufzubinden. Die vorinstanzliche Abänderung der Betreuung ist zu bestätigen.</w:t>
      </w:r>
    </w:p>
    <w:p>
      <w:r>
        <w:rPr>
          <w:b/>
        </w:rPr>
        <w:t>E. 1.6</w:t>
      </w:r>
    </w:p>
    <w:p>
      <w:r>
        <w:t>Zusammenfassend sind damit die Anträge des Berufungsklägers zur elterli- chen Sorge sowie der Obhuts- resp. Besuchsregelung (Anträge B.1 sowie B.3) abzuweisen. 2. Zu prüfen bleibt der prozessuale Antrag auf eine (erneute) Kindesanhörung (act. 2 S. 3).</w:t>
      </w:r>
    </w:p>
    <w:p>
      <w:r>
        <w:rPr>
          <w:b/>
        </w:rPr>
        <w:t>E. 2</w:t>
      </w:r>
    </w:p>
    <w:p>
      <w:r>
        <w:t>Am 28. Juni 2022 machte der Berufungskläger das Scheidungsverfahren vor der Vorinstanz hängig (act. 6/1 – 5). Im Laufe des Verfahrens stellten beide Par- teien (superprovisorische) Massnahmebegehren (Berufungskläger: act. 6/13 – 15, Berufungsbeklagte: act. 6/19 – 21). Die jeweiligen Anträge auf Erlass superprovi- sorischer Massnahmen wurden abgewiesen (act. 6/17, act. 6/22). Am 24. Januar 2024 fand die vorinstanzliche Verhandlung betreffend vorsorgliche Massnahmen statt (vorinstanzliches Prot. S. 12 ff.). Am 2. Februar 2024 erging die oben wieder- gegebene Verfügung der Vorinstanz zu den vorsorglichen Massnahmen (act. 6/40 = act. 4/2 = act. 5 Aktenexemplar [nachfolgend act. 5]). 3.1. Gegen diese Verfügung erhob der Berufungskläger mit Eingabe vom 15. Fe- bruar 2024 (Postaufgabe gleichentags) Berufung beim Obergericht (act. 2). Mit Verfügung vom 4. März 2024 wurde ihm Frist zur Leistung eines Kostenvorschus- ses angesetzt (act. 7). Der Kostenvorschuss ging am 7. März 2024 (Valutadatum) fristgerecht ein (act. 9). Am 21. März 2024 (Poststempel gleichentags [act. 10]) und am 12. April 2024 (Poststempel gleichentags [act. 11 f.]) reichte der Beru- fungskläger zwei Stellungnahmen ein. 3.2. Die vorinstanzlichen Akten wurden – soweit entscheidrelevant – beigezogen (act. 6/1 – 41). Auf weitere prozessleitende Schritte wurde verzichtet. Insbeson- dere erübrigt sich die Einholung einer Berufungsantwort, da sich die Berufung als offensichtlich unzulässig bzw. unbegründet erweist (Art. 312 Abs. 1 ZPO). Der Be- rufungsbeklagten ist ein Doppel der Berufungsschrift inkl. Beilagen (act. 2, 4) so- wie der Stellungnahmen vom 21. März 2024 (act. 10) und vom 12. April 2024 inkl.</w:t>
      </w:r>
    </w:p>
    <w:p>
      <w:r>
        <w:t>- 7 - Beilagen (act. 11, 12) mit vorliegendem Entscheid zuzustellen. Das Verfahren er- weist sich als spruchreif. II. 1. Gegen erstinstanzliche Entscheide über vorsorgliche Massnahmen ist die Berufung zulässig (Art. 308 Abs. 1 lit. b ZPO). Die angefochtene Verfügung wurde dem Berufungskläger am 5. Februar 2024 zugestellt (act. 6/40). Indem dieser die Berufungsschrift am 15. Februar 2024 einreichte (Datum Poststempel), wurde die Rechtsmittelfrist gewahrt (vgl. Art. 314 Abs. 1 ZPO).</w:t>
      </w:r>
    </w:p>
    <w:p>
      <w:r>
        <w:rPr>
          <w:b/>
        </w:rPr>
        <w:t>E. 2.1</w:t>
      </w:r>
    </w:p>
    <w:p>
      <w:r>
        <w:t>Auch für die Kindesanhörung wurden die rechtlichen Grundlagen und massgeblichen Kriterien von der Vorinstanz zutreffend dargelegt (act. 5 E. 2.1.). Da diese Erwägungen vom Berufungskläger nicht in Frage gestellt werden, kann auf eine Wiederholung verzichtet und darauf verwiesen werden.</w:t>
      </w:r>
    </w:p>
    <w:p>
      <w:r>
        <w:rPr>
          <w:b/>
        </w:rPr>
        <w:t>E. 2.2</w:t>
      </w:r>
    </w:p>
    <w:p>
      <w:r>
        <w:t>Die Vorinstanz hielt fest, dass die beiden Söhne im Scheidungsverfahren selbst zwar noch nicht angehört wurden. Faktisch entspreche das aktuelle Verfah-</w:t>
      </w:r>
    </w:p>
    <w:p>
      <w:r>
        <w:t>- 17 - ren, in dem im Rahmen von vorsorglichen Massnahmen über die Anpassung der im oberinstanzlichen Eheschutzentscheid getroffenen Obhut- und Betreuungsre- gelung zu entscheiden sei, aber einer Fortsetzung des Eheschutzverfahrens. Im Eheschutzverfahren sei C._____ zweimal (am 9. Dezember 2020 durch die erste Instanz sowie am 25. Januar 2023 durch das Obergericht) und D._____ einmal (am 25. Januar 2023 durch das Obergericht) angehört worden. Die ersuchte An- hörung würde die dritte Anhörung innert drei Jahren darstellen. Auch eine Stel- lungnahme der Beiständin vom 1. Februar 2023 liege bei den Akten (act. 5 E. 2.2.). Die Anhörung würde zu einer hohen Belastung für die Kinder, jedoch zu keinem nennenswerten Erkenntnismehrwert führen (act. 5 E. 2.3.). Da sich die Kinder in einem Loyalitätskonflikt befinden würden, hätte die Kindesanhörung in der vorliegenden Konstellation überdies überhaupt keinen Erkenntniswert (act. 5 E. 2.4.). Die Vorinstanz kam zum Schluss, dass aktuell von einer Anhörung der beiden Kinder abzusehen sei (act. 5 E. 2.5.).</w:t>
      </w:r>
    </w:p>
    <w:p>
      <w:r>
        <w:rPr>
          <w:b/>
        </w:rPr>
        <w:t>E. 2.3</w:t>
      </w:r>
    </w:p>
    <w:p>
      <w:r>
        <w:t>Dagegen bringt der Berufungskläger vor, das Bestehen eines Loyalitätskon- flikts könnte nicht von Personen eruiert werden, welche die Kinder noch nie gese- hen hätten (act. 2 Rz. 35) und eine Kindesanhörung führe nur dann zu Stress, wenn sie nicht richtig durchgeführt werde (act. 2 Rz. 46). Vorliegend könnten die nötigen Erkenntnisse nur durch eine Anhörung gewonnen werden (act. 2 Rz. 45).</w:t>
      </w:r>
    </w:p>
    <w:p>
      <w:r>
        <w:rPr>
          <w:b/>
        </w:rPr>
        <w:t>E. 2.4</w:t>
      </w:r>
    </w:p>
    <w:p>
      <w:r>
        <w:t>Die vom Berufungskläger vorgebrachten Rügen vermögen nicht zu überzeu- gen. Mit der vorinstanzlichen Begründung, weshalb die Anhörung zu einer hohen Belastung für die Kinder führen würde (die Kindseltern seien sehr auf die Aussa- gen der Kinder fokussiert, würden die Kinder zu Meinungsäusserungen bzw. Ent- scheidungen auffordern und möchten die in den Anhörungen gemachten Aussa- gen mit ihnen ausdiskutieren [act. 5 E. 2.3.]), setzt sich der Berufungskläger in der Rechtsmitteleingabe nicht auseinander. Sein pauschales Vorbringen, Stress ent- stehe bei einer Kindesanhörung nur bei deren falschen Handhabung, trifft offen- kundig nicht zu und verkennt die Situation, in welcher sich die Kinder in dieser Konstellation befinden. Wie dargelegt (vgl. E. 1.3.3. oben), stellte die Vorinstanz korrekterweise einen Loyalitätskonflikt fest. Da – wie von der Vorinstanz zu Recht hervorgehoben – bei Vorliegen eines starken Loyalitätskonflikts die gemachten</w:t>
      </w:r>
    </w:p>
    <w:p>
      <w:r>
        <w:t>- 18 - Aussagen insoweit nicht dem unbeeinflussten Willen eines Kinds entsprechen können (act. 5 E. 2.4.), ist mit der Vorinstanz einherzugehen, dass die Aussagen einer erneuten Anhörung innert kurzer Zeit keinen nennenswerten Erkenntniswert hätten. Auch in antizipierter Beweiswürdigung kann deshalb auf eine Anhörung verzichtet werden. Unter Berücksichtigung, dass es sich beim vorliegenden vor- sorglichen Verfahren faktisch um eine Fortsetzung des Eheschutzverfahrens han- delt, in dem beide Kinder bereits angehört wurden (letztmals vor weniger als ei- neinhalb Jahren), verneinte die Vorinstanz die Durchführung einer erneuten Kin- desanhörung zu Recht. IV.</w:t>
      </w:r>
    </w:p>
    <w:p>
      <w:r>
        <w:rPr>
          <w:b/>
        </w:rPr>
        <w:t>E. 3</w:t>
      </w:r>
    </w:p>
    <w:p>
      <w:r>
        <w:t>Neue Tatsachen und Beweismittel werden im Berufungsverfahren nur noch berücksichtigt, wenn sie (a) ohne Verzug vorgebracht werden und (b) trotz zumut- barer Sorgfalt nicht schon vor erster Instanz vorgebracht werden konnten (Art. 317 Abs. 1 ZPO). Untersteht das Verfahren allerdings wie hier der uneinge- schränkten Untersuchungsmaxime (Art. 296 ZPO), sind Noven auch im Beru- fungsverfahren unabhängig von den erwähnten Einschränkungen noch bis zur Ur- teilsberatung zulässig (BGE 144 III 349 E. 4.2.1; BGer 5A_1032/2019 vom 9. Juni 2020 E. 4.2; OGer ZH LY160019 vom 21. Juli 2016 E. 2.2.1.2). Die vom Beru- fungskläger im vorliegenden Berufungsverfahren neu vorgebrachten Behauptun- gen und Beweismittel sind folglich zu berücksichtigen.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