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LY230025 vom 23. August 2023</w:t>
      </w:r>
    </w:p>
    <w:p>
      <w:r>
        <w:t>ZH Obergericht, 2023-08-23, DE</w:t>
      </w:r>
    </w:p>
    <w:p>
      <w:r>
        <w:rPr>
          <w:b/>
        </w:rPr>
        <w:t xml:space="preserve">Quelle: </w:t>
      </w:r>
      <w:r>
        <w:t>https://mcp.opencaselaw.ch/entscheid/zh_obergericht_LY230025</w:t>
      </w:r>
    </w:p>
    <w:p>
      <w:r>
        <w:t>FR: ZH_OBERGERICHT LY230025 du 23 août 2023</w:t>
      </w:r>
    </w:p>
    <w:p>
      <w:r>
        <w:t>IT: ZH_OBERGERICHT LY230025 del 23 agosto 2023</w:t>
      </w:r>
    </w:p>
    <w:p>
      <w:pPr>
        <w:pStyle w:val="Heading2"/>
      </w:pPr>
      <w:r>
        <w:t>Erwägungen</w:t>
      </w:r>
    </w:p>
    <w:p>
      <w:r>
        <w:rPr>
          <w:b/>
        </w:rPr>
        <w:t>E. 1</w:t>
      </w:r>
    </w:p>
    <w:p>
      <w:r>
        <w:t>Gegen erstinstanzliche Entscheide über vorsorgliche Massnahmen ist die Berufung zulässig (Art. 308 Abs. 1 lit. b ZPO). Gegenstand des vorliegenden Be- rufungsverfahrens ist die Frage, ob ein Wegzug des Sohnes C._____ nach D._____, Deutschland, vorsorglich zu verbieten resp. zu bewilligen ist. Damit liegt eine nicht vermögensrechtliche Streitigkeit vor (Art. 308 Abs. 2 ZPO).</w:t>
      </w:r>
    </w:p>
    <w:p>
      <w:r>
        <w:rPr>
          <w:b/>
        </w:rPr>
        <w:t>E. 2</w:t>
      </w:r>
    </w:p>
    <w:p>
      <w:r>
        <w:t>Aufl. 2016, Art. 310 N 10). In Abweichung zu Art. 317 Abs. 1 ZPO können in Kinderbelangen neue Tatsachen und Beweismittel auch noch im Berufungsver- fahren vorgebracht werden (BGE 144 III 349 E. 4.2.1.; vgl. auch Urteil 5A_1032/ 2019 vom 9. Juni 2020 E. 4.2).</w:t>
      </w:r>
    </w:p>
    <w:p>
      <w:r>
        <w:rPr>
          <w:b/>
        </w:rPr>
        <w:t>E. 2.1</w:t>
      </w:r>
    </w:p>
    <w:p>
      <w:r>
        <w:t>Die von der Vorinstanz geprüfte und bejahte Glaubhaftmachung einer be- stehenden besonderen Dringlichkeit in Bezug auf die Untersagung des Wegzugs des Sohnes C._____ bildet grundsätzlich keine (materielle) Voraussetzung ge- mäss Art. 301a ZGB. Von Relevanz ist sie jedoch hinsichtlich der Frage, ob durch das Gericht im Verfahren der Abänderung des rechtskräftigen Scheidungsurteils über die Zustimmung zum Wegzug resp. die Untersagung des Aufenthaltswech- sels von C._____ überhaupt im Sinne einer vorsorglichen Massnahme entschie- den werden kann. Das Bundesgericht hat im Zusammenhang mit vorsorglichen Massnahmen im Abänderungsverfahren (Art. 284 Abs. 3 i.V.m. Art. 276 ZPO) zum Ausdruck ge- bracht, dass solche – angesichts der Rechtskraft des bestehenden Scheidungsur- teils – nur ausnahmsweise resp. unter restriktiven Bedingungen anzuordnen sei-</w:t>
      </w:r>
    </w:p>
    <w:p>
      <w:r>
        <w:t>- 12 - en, nämlich in dringenden Fällen und bei Vorliegen besonderer Umstände. Zudem würden bereits im Massnahmeverfahren dieselben strengen Voraussetzungen gelten wie im Abänderungsverfahren selbst; namentlich sei eine erhebliche und dauerhafte Veränderung der Verhältnisse erforderlich. In Bezug auf die Erteilung einer Wegzugsbewilligung erscheine es angesichts der damit verbundenen Aus- wirkungen in der Regel angebracht, darüber erst mit der Hauptsache zu entschei- den, da dies eine vollständige Sachverhaltsabklärung erfordere. Das Gesetz ver- biete es jedoch nicht, im Verfahren der Abänderung des Scheidungsurteils vor- sorgliche Massnahmen im Sinne von Art. 276 Abs. 1 ZPO zu erlassen, wenn die Voraussetzungen dafür gegeben seien (BGer 5A_641/2015 vom 3. März 2016 E. 4; BGer 5A_274/2016 vom 26. August 2016 E. 4; vgl. zum Ganzen auch OGer ZH LY180022 vom 22. August 2018 E. 4.10. ff.). Zu erwähnen ist in diesem Zu- sammenhang zudem, dass mit dem Wegzug des Kindes nach Deutschland, wel- ches wie die Schweiz das Haager Kindesschutzübereinkommen ratifiziert hat, grundsätzlich sogleich ein gewöhnlicher Aufenthalt des Kindes in Deutschland begründet würde und die internationale Zuständigkeit der schweizerischen Ge- richte gemäss Konvention entfiele (Art. 5 Abs. 2 Haager Kindesschutzüberein- kommens, HKsÜ; u.a. BGE 143 III 193 E. 2 und BGE 142 III 1 E. 2.1; BGer 5A_293/2016 vom 8. August 2016 E. 3.1 m.w.H.). Die Regelung im Kindes- schutzübereinkommen betont das Anliegen, dass grundsätzlich die Gerichte am Ort, wo sich das Kind befindet, über Kinderanliegen entscheiden sollen, weil diese mit den Verhältnissen des Kindes am besten vertraut sind. Von der grundsätzli- chen Möglichkeit, die Zustimmung des Aufenthaltswechsels des Kindes ins Aus- land bereits im Rahmen vorsorglicher Massnahmen zu erteilen, sollte auch unter diesem Aspekt nur mit grosser Zurückhaltung Gebrauch gemacht werden.</w:t>
      </w:r>
    </w:p>
    <w:p>
      <w:r>
        <w:rPr>
          <w:b/>
        </w:rPr>
        <w:t>E. 2.2</w:t>
      </w:r>
    </w:p>
    <w:p>
      <w:r>
        <w:t>Die Beklagte bekundete mit ihrer Whats-App-Nachricht an den Kläger, mit dem darauffolgenden Antrag auf Zustimmung nach Art. 301a ZGB an die KESB H._____ (act. 6/3/3-4), ihren Vorbringen im vorinstanzlichen Verfahren (act. 6/8) sowie mit der Berufungserhebung den festen Willen zur Wohnsitzverlegung ins Ausland resp. nach D._____/D. Die Niederlassungs- und Bewegungsfreiheit der Eltern ist – gemäss dem vom Gesetzgeber bewusst getroffenen Entscheid – zu respektieren. Die Motive des wegzugswilligen Elternteils stehen (abgesehen von</w:t>
      </w:r>
    </w:p>
    <w:p>
      <w:r>
        <w:t>- 13 - Ausnahmefällen) nicht zur Debatte und es ist von der Hypothese auszugehen, dass der Elternteil unabhängig von der Bewilligungserteilung zum Wechsel des Aufenthaltsortes des Kindes wegzieht (BGE 142 III 481 E. 2.5 m.w.H.). In der Wohnsitzverlegung der Beklagten ins Ausland kann eine erhebliche und dauer- hafte Veränderung der Verhältnisse als Abänderungsvoraussetzung gesehen werden. Die Dringlichkeit in Bezug auf die Anordnung vorsorglicher Massnahmen im vorliegenden Fall wurde von den Parteien nicht in Frage gestellt. Angesichts der gesamten Umstände, insbesondere des erst am Anfang stehenden vo- rinstanzlichen Verfahrens, des Übertritts von C._____ in die 4. Klasse resp. dem beginnenden neuen Schuljahr, der neuen Arbeitsstelle der Beklagten in G._____/D seit Januar 2023 und der von ihr in D._____/D seit Februar 2023 an- gemieteten Wohnung (act. 6/3/6-7), erscheint der Erlass vorsorglicher Massnah- men vorliegend als vertretbar.</w:t>
      </w:r>
    </w:p>
    <w:p>
      <w:r>
        <w:rPr>
          <w:b/>
        </w:rPr>
        <w:t>E. 3</w:t>
      </w:r>
    </w:p>
    <w:p>
      <w:r>
        <w:t>Die zweitinstanzliche Entscheidgebühr wird auf Fr. 3'000.00 festgesetzt.</w:t>
      </w:r>
    </w:p>
    <w:p>
      <w:r>
        <w:rPr>
          <w:b/>
        </w:rPr>
        <w:t>E. 3.1</w:t>
      </w:r>
    </w:p>
    <w:p>
      <w:r>
        <w:t>Das Recht, den Aufenthaltsort eines Kindes zu bestimmen, ist Teil des Sorgerechts (Art. 301a Abs. 1 ZGB). Will ein Elternteil bei gemeinsamer elterlicher Sorge den Aufenthaltsort des Kindes ins Ausland verlegen, bedarf dies der Zu- stimmung des andern Elternteils oder ersatzweise der Entscheidung des Gerichts oder der Kindesschutzbehörde (Art. 301a Abs. 2 lit. a ZGB). Die Rechtsprechung hat Kriterien entwickelt, anhand derer zu beurteilen ist, ob dem umzugswilligen El- ternteil die Bewilligung zum Wechsel des Aufenthaltsortes des Kindes zu erteilen ist oder nicht. Ausgangspunkt ist der (bereits erwähnte) vom Gesetzgeber be- wusst getroffene Entscheid, die Niederlassungs- und Bewegungsfreiheit der El- tern zu respektieren. Es ist von der Prämisse auszugehen, dass der Elternteil un- abhängig von der Bewilligungserteilung zum Wechsel des Aufenthaltsortes des Kindes wegzieht (BGE 142 III 481 E. 2.5 m.w.H.). Die Frage, wo sich der Aufent- haltsort des Kindes befinden soll, ist ausgerichtet am Kindeswohl zu beantworten. Es ist nicht zu prüfen, ob es für das Kind vorteilhafter wäre, wenn beide Elternteile im Inland verbleiben würden, sondern vielmehr, ob das Kindeswohl besser ge- wahrt ist, wenn es mit dem auswanderungswilligen Elternteil wegzieht oder wenn es sich beim anderen Elternteil in der Schweiz aufhält (BGE 142 III 481 E. 2.6; BGE 142 III 502 E. 2.5). Abzustellen ist auf die Kriterien, die im Zusammenhang mit der Obhutszuteilung im Trennungs- oder Scheidungsfall entwickelt worden</w:t>
      </w:r>
    </w:p>
    <w:p>
      <w:r>
        <w:t>- 14 - sind: Die Interessen der Eltern haben in den Hintergrund zu treten. Von Bedeu- tung sind die persönlichen Beziehungen zwischen Eltern und Kind, die erzieheri- schen Fähigkeiten der Eltern und ihre Bereitschaft, das Kind in eigener Obhut zu haben und es weitgehend persönlich zu betreuen und zu pflegen sowie das Be- dürfnis des Kindes nach der für eine harmonische Entfaltung in körperlicher, see- lischer und geistiger Hinsicht notwendigen Stabilität der Verhältnisse. Letzteres erhält bei gleicher Erziehungs- und Betreuungsfähigkeit besonderes Gewicht (BGE 142 III 481 E. 2.7; BGE 142 III 498 E. 4.4). Ausgangspunkt der Überlegungen bildet das bisher gelebte Betreuungsmodell. Ist das Kind bislang von beiden Elternteilen weitgehend zu gleichen Teilen betreut worden und sind beide Teile weiterhin willens und in der Lage, persönlich oder im Rahmen eines im Kindeswohl liegenden Betreuungskonzeptes für das Wohl des Kindes zu sorgen, so ist die Ausgangslage gewissermassen neutral. Diesfalls ist anhand weiterer Kriterien wie etwa dem familiären und wirtschaftlichen Umfeld, der Stabilität der Verhältnisse, der Sprache und Beschulung, den gesundheitli- chen Bedürfnissen sowie der Meinungsäusserung eines älteren Kindes zu eruie- ren, welche Lösung im besten Interesse des Kindes liegt. War hingegen der weg- zugswillige Elternteil bisher ganz oder überwiegend die Bezugsperson (nament- lich beim klassischen Besuchsrechtsmodell), wird es tendenziell zum besseren Wohl des Kindes sein, wenn es bei diesem verbleibt und folglich mit ihm weg- zieht. Die für einen Verbleib des Kindes in der Schweiz notwendige Umteilung an den anderen Elternteil bedarf jedenfalls der sorgfältigen Prüfung, ob sie tatsäch- lich dem Kindeswohl entspricht. Massgebend sind stets die Umstände des Einzel- falles. Ist das Kind noch klein und dementsprechend mehr personen- denn umge- bungsbezogen, ist eine Umteilung an den anderen Elternteil angesichts des Grundsatzes der Betreuungs- und Erziehungskontinuität nicht leichthin vorzu- nehmen. Hingegen wird bei einem älteren Kind zunehmend die Wohn- und Schulumgebung sowie der sich ausbildende Freundeskreis wichtig; hier könnte der Verbleib in der Schweiz, soweit eine Umplatzierung zum anderen Elternteil möglich ist, dem Kindeswohl unter Umständen besser dienen. Weiter ist auch zu berücksichtigen, ob das Kind etwa die Sprache am neuen Ort spricht, ob der auswanderungswillige Elternteil in sein Heimatland bzw. in den dem Kind bereits</w:t>
      </w:r>
    </w:p>
    <w:p>
      <w:r>
        <w:t>- 15 - vertrauten angestammten Familienkreis zurückkehrt resp. zu einem neuen Part- ner in ein wirtschaftlich und sozial abgesichertes Umfeld zieht oder ob es bei- spielsweise um Gewinnung von Abstand bzw. um Abenteuerlust und eine Le- bensführung mit weitgehend offener Perspektive geht. Schliesslich wird bei einem älteren Kind (ungefähr ab dem 12. Altersjahr) massgeblich auch auf die bei seiner Anhörung geäusserten Wünsche und Vorstellungen abzustellen sein, soweit sich diese mit den konkreten Begebenheiten (tatsächliche Aufnahme- und Betreu- ungsmöglichkeiten des betreffenden Elternteils) vereinbaren lassen (BGE 142 III 481 E. 2.7). Die Auswanderungsmotive des auswanderungswilligen Elternteils sind indirekt (nur) insofern relevant, als er oder sie offensichtlich nur wegziehen will, um das Kind dem anderen Elternteil zu entfremden: Dies würde die Bin- dungstoleranz und damit die Erziehungsfähigkeit des betreffenden Elternteils in Frage stellen, mit der Folge, dass eine Umteilung an den anderen in Erwägung zu ziehen ist (BGE 142 III 481 E. 2.7). Kein Grund, den Wegzug des Kindes zu ver- bieten, ist für sich alleine genommen im Übrigen der Umstand, dass der persönli- che Verkehr mit dem zurückbleibenden Elternteil weniger häufig wird stattfinden können (BGE 142 III 481 E. 2.9).</w:t>
      </w:r>
    </w:p>
    <w:p>
      <w:r>
        <w:rPr>
          <w:b/>
        </w:rPr>
        <w:t>E. 3.2</w:t>
      </w:r>
    </w:p>
    <w:p>
      <w:r>
        <w:t>Bei einem Entscheid nach Art. 301a Abs. 2 ZGB geht es somit nicht um eine – gestützt auf das Kindeswohl begründete – Sicherung des status quo im Sinne der Aufrechterhaltung der bisher geltenden, gelebten Obhuts- und Betreuungsre- gelung, wie sie die Vorinstanz anstrebte. Mithin ist auch nicht massgeblich im Sinne einer Wertung darauf abzustellen, ob ein Elternteil durch den Wegzug ins Ausland Fakten schafft und (eigenmächtig) einen Grund für die Änderung der ge- lebte Betreuungssituation sowie Obhut setzt. Bei einem Entscheid nach Art. 301a Abs. 2 ZGB geht es vielmehr darum, ausgehend von der Tatsache des Wegzugs eines Elternteils darüber zu befinden, ob es dem Kindeswohl mehr entspricht, mit diesem mitzugehen oder beim in der Schweiz wohnenden Elternteil zu bleiben. Der Entscheid kann nur in sorgfältiger Abwägung der vorstehend aufgeführten Voraussetzungen (vgl. Erw. D./3.1.) getroffen werden. Die Vorinstanz hat die im Rahmen einer (vorsorglichen) Entscheidung nach Art. 301a Abs. 2 lit. a ZGB rele- vanten Voraussetzungen nicht im Einzelnen geprüft resp. keine Erwägungen dazu angestellt, insbesondere hat sie auch den diesbezüglichen Sachverhalt als</w:t>
      </w:r>
    </w:p>
    <w:p>
      <w:r>
        <w:t>- 16 - Grundlage für einen Entscheid nicht genügend abgeklärt: Im Zeitpunkt ihres Ent- scheides lagen ihr einzig die nicht vollständig begründete Klage des Klägers auf Abänderung des Scheidungsverfahrens mit Anträgen auf Erlass vorsorglicher Massnahmen (act. 6/1 S. 2 und 3 Rz. 3), die einseitige Stellungnahme der Be- klagten (act. 6/8), eine schriftliche Stellungnahme von F._____ (act. 6/12) und die Protokolle der Kinderanhörung (act. 6/28) vor. Die Vorinstanz führte eine Eini- gungsverhandlung in der Hauptsache ohne zu protokollierende Parteivorträge durch (in einer Protokollnotiz wurde lediglich festgehalten, die Parteien hätten sich ausführlich zur Sache geäussert; Prot. Vi S. 7). Zu einer mündlichen Massnahme- verhandlung mit Anhörung der Parteien wurde durch die Vorinstanz weder vorge- laden noch wurde eine solche durchgeführt. Im summarischen Verfahren liegt der Entscheid darüber, wie die Gesuchsantwort zu erstatten resp. das Verfahren durchzuführen ist, mithin mündlich oder schrift- lich, grundsätzlich im Ermessen des Gerichts (vgl. Art. 253 ZPO und Art. 256 Abs. 1 ZPO; Kaufmann, DIKE-Komm-ZPO, 2. Aufl. 2016, Art. 253 N 12 f.). Das dem Gericht eingeräumte Ermessen ist dort beschränkt, wo das Gesetz eine mündliche Verhandlung vorsieht (Art. 256 Abs. 1 ZPO). Im Eheschutzverfahren stellt Art. 273 Abs. 1 ZPO eine solche gesetzliche Regelung dar, die in Bezug auf vorsorgliche Massnahmen im Verfahren der Abänderung des Scheidungsurteils gestützt auf Art. 284 Abs. 3 ZPO i.V.m. Art. 276 Abs. 1 ZPO analog zur Anwen- dung gelangt. Die mündliche Verhandlung ist als Ausfluss des Unmittelbarkeits- prinzips von zentraler Bedeutung. Auf eine mündliche Verhandlung kann nach Art. 273 Abs. 1 Satz 2 ZPO nur ausnahmsweise verzichtet werden, wenn der Sachverhalt aufgrund der Eingaben der Parteien klar oder unbestritten ist. Sind Anordnungen über Kinder zu treffen, ergibt sich die Pflicht zur Anhörung der El- tern sodann direkt aus Art. 297 Abs. 1 ZPO i.V.m. Art. 296 Abs. 1 ZPO. Sie dient der Sachverhaltsfeststellung und ist in Kinderbelangen eine (notwendige) Konse- quenz der uneingeschränkten Untersuchungsmaxime (OGer ZH LE130059 vom 12. Februar 2014, E. II./2.1 ff. und OGer ZH LY220008 vom 18. Mai 2022 E. III./2.-4., je mit zahlreichen weiteren Hinweisen).</w:t>
      </w:r>
    </w:p>
    <w:p>
      <w:r>
        <w:t>- 17 - Die schriftlichen Parteivorträge durch die Rechtsvertreter fielen vor Vorinstanz äusserst knapp aus. Aufgrund des Verweises des Klägers in seiner Eingabe vom 10. Februar 2023, es handle sich um eine Kurzbegründung resp. die Abände- rungsklage sei nicht vollständig begründet eingereicht worden (act. 6/1 S. 3, Titel und Rz. 3), ist fraglich, ob er seine Massnahmebegehren in besagter Eingabe überhaupt (schon) begründet hat. Die Beklagte äusserte sich folglich auch nur auf einer knappen Seite zur (superprovisorisch angeordneten) vorsorglichen Mass- nahme. Vor diesem Hintergrund wäre die Durchführung einer mündlichen Ver- handlung durch die Vorinstanz mit Befragung der Parteien zur Sachverhaltserstel- lung umso mehr geboten gewesen. Gründe dafür, von einer mündlichen Verhand- lung abzusehen, sind nicht ersichtlich und im Grunde genommen im vorliegenden Fall auch nicht denkbar. Für den gerichtlichen Entscheid bedarf es einer konkre- ten Entscheidungsbasis hinsichtlich der relevanten, zu prüfenden Voraussetzun- gen nach Art. 301a Abs. 2 lit. a ZGB, welche aufgrund der in Kinderbelangen zur Anwendung gelangenden Offizial- und Untersuchungsmaxime von Amtes wegen durch aktives Erforschen zu erstellen ist. Unerlässlich wäre insbesondere das vor- instanzliche Erfragen der tatsächlich gelebten Umstände und des Betreuungskon- zeptes vor dem Wegzug gewesen (v.a. etwa, wie die alternierende Obhut und Be- treuungsregelung gemäss Scheidungsurteil gelebt wurde, wann C._____ zur Schule ging, welchen Hobbies er an welchen Tagen nachging, wie sich die Par- teien und insbesondere der 100% arbeitstätige Kläger in Bezug auf die Betreuung des Sohnes organisierten, wie sich die familiäre/soziale Situation in der Schweiz präsentiert). Auch abzuklären gewesen wäre, in welche Umgebung der Umzug nach Deutschland erfolgen und wie das zukünftige Betreuungs- bzw. Besuchs- konzept einerseits bei einem Mitgehen des Kindes ins Ausland (familiäre/soziale Situation in Deutschland, Wohnumstände, Schule und Schulzeiten, Um- fang/Zeiten der Arbeitstätigkeit der Beklagten etc.) und andererseits bei einem Verbleib beim anderen Elternteil in der Schweiz (insbesondere Betreuungsmög- lichkeit durch den Kläger) aussehen würde. In einer persönlichen Anhörung der Parteien wären deren jeweilige Beziehung zu C._____ und die (bereits im vo- rinstanzlichen Verfahren; act. 6/18 und act. 6/21) aufgeworfenen Fragen einer Kindswohlgefährdung zu klären gewesen. Es fehlt vorliegend an den für einen</w:t>
      </w:r>
    </w:p>
    <w:p>
      <w:r>
        <w:t>- 18 - Entscheid nach Art. 301a Abs. 2 lit. a ZGB relevanten Sachverhaltsfeststellungen, weshalb es der Kammer nicht möglich ist, darüber zu entscheiden, ob dem Wechsel des Aufenthaltsortes von C._____ nach D._____/D zuzustimmen oder dieser zu untersagen ist. 4.1. Schliesslich ist auf Art. 301a Abs. 5 ZGB hinzuweisen: Wenn bei Uneinigkeit der Eltern das Gericht über die Zustimmung oder Verweigerung eines Wechsels des Aufenthaltsorts des Kindes zu entscheiden hat, so hat es zwingend auch die Regelung betreffend elterliche Sorge, Obhut, persönlichen Verkehr und Unterhalt zu beurteilen bzw. die Betreuungs-, Besuchsrechts- und Unterhaltsregelung so- weit nötig anzupassen, und zwar gegebenenfalls auch für den Fall, dass der weg- ziehende Elternteil alleine wegzieht (Art. 301a Abs. 5 ZGB; vgl. BGE 142 III 481 E. 2.8: 5: "Materiell bildet die Regelung im Sinn von Art. 301a Abs. 5 ZGB einen notwendigen Bestandteil des Entscheides über den Wegzug"; BGE 142 III 502 E. 2.6). 4.2. Auch in Bezug auf die obligatorische Prüfung einer allfälligen Anpassung des Eltern-Kind-Verhältnisses sind der Vorinstanz Versäumnisse vorzuwerfen: Obwohl der Kläger den Antrag gestellt hat, es sei ihm die alleinige Obhut über C._____ zuzuteilen, und er dies (auch) als vorsorgliches Massnahmebegehren formulierte (act. 6/1 S. 2), hat die Vorinstanz den Antrag nicht behandelt und kei- ne Sachverhaltsabklärungen dazu getroffen. Es ist grundsätzlich davon auszuge- hen, dass die Beklagte nach Deutschland zieht (vgl. oben Erw. D./2.2.). Fakt ist, dass sie seit Januar 2023 einer Arbeit in G._____/D nachgeht. Abzuklären gewe- sen wäre (zumindest), ob unter der Prämisse des Umzugs der Beklagten weiter- hin eine alternierende Obhut möglich ist oder nicht und ob die Betreuungsrege- lung einerseits vor dem Hintergrund der Arbeitstätigkeit der Beklagten sowie an- dererseits der weiteren Distanz zwischen den Wohnorten der Parteien resp. der Schule von C._____ angepasst werden muss. Der Vollständigkeit halber ist da- rauf hinzuweisen, dass auch im Falle der Untersagung einer Zustimmung zum Wegzug von C._____ nach D._____/D und der klaren Bekundung der Beklagten, diesfalls in H._____ wohnhaft zu bleiben, zu klären wäre, wie und ob sie ange- sichts ihrer Arbeitstätigkeit in Deutschland ihrer Betreuungsaufgabe im Umfang</w:t>
      </w:r>
    </w:p>
    <w:p>
      <w:r>
        <w:t>- 19 - der Regelung gemäss Scheidungsurteil nachkommen kann bzw. ob diese ange- passt werden müsste. 5.1. Nach dem Ausgeführten hat es die Vorinstanz versäumt, in Bezug auf die vorsorglichen Massnahmebegehren des Klägers eine mündliche Verhandlung (mit persönlicher Befragung der Parteien) durchzuführen und den rechtserheblichen Sachverhalt zur Frage der Zustimmung bzw. Untersagung des Aufenthaltswech- sels des Sohnes C._____ nach D._____/D zu erheben. Sachverhaltsabklärungen fehlen überdies in Bezug auf die obligatorische Prüfung einer allfälligen (Neu- )Regelung des Eltern-Kind-Verhältnisses (Art. 301a Abs. 5 ZGB), so insbesonde- re zur Frage, ob (bei Wegzug der Beklagten und/oder Ausübung ihrer neuen Ar- beitstätigkeit in Deutschland) die alternierende Obhut mit Betreuungsregelung gemäss Scheidungsurteil in Zukunft weitergeführt werden kann. Der Antrag des Klägers, es sei ihm die alleinige Obhut im Sinne einer vorsorglichen Massnahme zuzuteilen, blieb durch die Vorinstanz unbehandelt. Diese schwerwiegenden Versäumnisse resp. Verfahrensfehler der Vorinstanz können vor der Rechtsmittelinstanz nicht wiedergutgemacht bzw. geheilt werden. Insbesondere würde den Parteien andernfalls eine Instanz mit voller Kognition verloren gehen, falls die Kammer die von der Vorinstanz versäumte Verhandlung und persönliche Befragung nachholen sowie erstmals über eine vorsorgliche Ab- änderung der Obhuts- und Betreuungsregelung für C._____ entscheiden resp. Anpassungen gestützt auf Art. 301a Abs. 5 ZGB vornehmen würde. 5.2. Der Entscheid der Vorinstanz ist folglich aufzuheben und die Sache ist zwecks Durchführung einer mündlichen Verhandlung zur Klärung bzw. Vervoll- ständigung des Sachverhalts und neuer Entscheidung im Sinne der vorstehenden Erwägungen an die Vorinstanz zurückzuweisen (Art. 318 Abs. 1 lit. c Ziff. 1+2 ZPO; ZK-ZPO-Reetz/Hilber, a.a.O., Art. 318 N 37). Es gilt festzuhalten, dass das vorinstanzliche Verfahren in den Stand vor dem aufzuhebenden Entscheid vom 31. Mai 2023 zurückversetzt wird, mithin gilt die superprovisorische Anordnung vom 13. Februar 2023 (Untersagung Wegzug von</w:t>
      </w:r>
    </w:p>
    <w:p>
      <w:r>
        <w:t>- 20 - C._____; FP230001-B/Z01, Dispositiv-Ziffer 1) weiter bis zum neuen Massnah- meentscheid der Vorinstanz. E. Kosten- und Entschädigungsfolgen Zufolge Rückweisung des Verfahrens können die Kosten- und Entschädigungs- folgen für das zweitinstanzliche Verfahren noch nicht abschliessend geregelt wer- den. Es sind daher zwar für das Berufungsverfahren Kosten festzusetzen, doch ist der Entscheid über die Kostenauflage und die Regelung der Entschädigungs- folgen dem Entscheid der Vorinstanz nach Massgabe des (endgültigen) Verfah- rensausgangs vorbehalten (vgl. ZK ZPO-Reetz/Hilber, a.a.O., Art. 318 N 61 ff.). Da das Verfahren nicht abgeschlossen wird, ist die Entscheidgebühr für das Beru- fungsverfahren in Anwendung der §§ 12 Abs. 1 und 2 in Verbindung mit §§ 2, § 6 Abs. 1 i.V.m. § 5 Abs. 1 und § 8 Abs. 1 der Gebührenverordnung des Oberge- richts vom 8. September 2010 (GebV OG) auf Fr. 3'000.00 festzusetzen. Es wird beschlossen: 1. Die Verfügung des Bezirksgerichts Andelfingen vom 31. Mai 2023 (Ent- scheid über vorsorgliche Massnahmen betreffend Untersagung Wegzug; FP230001-B/Z08) wird aufgehoben und die Sache wird zur Durchführung einer mündlichen Verhandlung betreffend vorsorgliche Massnahmen und zur Sachverhaltsergänzung sowie neuen Entscheidung im Sinne der Erwägun- gen an die Vorinstanz zurückgewiesen. 2. Das vorinstanzliche Verfahren wird in den Stand vor dem aufzuhebenden Entscheid vom 31. Mai 2023 zurückversetzt, die superprovisorische Anord- nung vom 13. Februar 2023 (Untersagung Wegzug von C._____; FP230001-B/Z01, Dispositiv-Ziffer 1) hat bis zum neuen Massnahmeent- scheid der Vorinstanz Geltung.</w:t>
      </w:r>
    </w:p>
    <w:p>
      <w:r>
        <w:rPr>
          <w:b/>
        </w:rPr>
        <w:t>E. 4</w:t>
      </w:r>
    </w:p>
    <w:p>
      <w:r>
        <w:t>Die Regelung der Kosten- und Entschädigungsfolgen des Berufungsverfah- rens wird dem Endentscheid der Vorinstanz vorbehalten.</w:t>
      </w:r>
    </w:p>
    <w:p>
      <w:r>
        <w:t>- 21 -</w:t>
      </w:r>
    </w:p>
    <w:p>
      <w:r>
        <w:rPr>
          <w:b/>
        </w:rPr>
        <w:t>E. 5</w:t>
      </w:r>
    </w:p>
    <w:p>
      <w:r>
        <w:t>Schriftliche Mitteilung an die Parteien, an die Beklagte und Berufungskläge- rin unter Beilage von act. 13 und act. 14/1-5, sowie unter Rücksendung der erstinstanzlichen Akten an das Bezirksgericht Andelfingen, je gegen Emp- 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und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