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LY230001 vom 29. August 2023</w:t>
      </w:r>
    </w:p>
    <w:p>
      <w:r>
        <w:t>ZH Obergericht, 2023-08-29, DE</w:t>
      </w:r>
    </w:p>
    <w:p>
      <w:r>
        <w:rPr>
          <w:b/>
        </w:rPr>
        <w:t xml:space="preserve">Quelle: </w:t>
      </w:r>
      <w:r>
        <w:t>https://mcp.opencaselaw.ch/entscheid/zh_obergericht_LY230001</w:t>
      </w:r>
    </w:p>
    <w:p>
      <w:r>
        <w:t>FR: ZH_OBERGERICHT LY230001 du 29 août 2023</w:t>
      </w:r>
    </w:p>
    <w:p>
      <w:r>
        <w:t>IT: ZH_OBERGERICHT LY230001 del 29 agosto 2023</w:t>
      </w:r>
    </w:p>
    <w:p>
      <w:pPr>
        <w:pStyle w:val="Heading2"/>
      </w:pPr>
      <w:r>
        <w:t>Erwägungen</w:t>
      </w:r>
    </w:p>
    <w:p>
      <w:r>
        <w:rPr>
          <w:b/>
        </w:rPr>
        <w:t>E. 1</w:t>
      </w:r>
    </w:p>
    <w:p>
      <w:r>
        <w:t>Die Parteien sind miteinander verheiratet und die Eltern von C._____, gebo- ren am tt.mm.2015, und D._____, geboren am tt.mm.2018. Mit Scheidungsklage vom 9. Juli 2022 machte die Klägerin und Berufungsklägerin (fortan Klägerin) das vorliegende Verfahren bei der Vorinstanz hängig (Urk. 5/1). Hinsichtlich der Pro- zessgeschichte vor Vorinstanz kann auf die vorinstanzliche Verfügung vom 16. Februar 2023 verwiesen werden (Urk. 2 S. 6 ff. = Urk. 5/95 S. 6 ff.). Mit dieser Verfügung ordnete die Vorinstanz vorsorglich Kindesschutzmassnahmen an (Urk. 2 S. 58 f.).</w:t>
      </w:r>
    </w:p>
    <w:p>
      <w:r>
        <w:rPr>
          <w:b/>
        </w:rPr>
        <w:t>E. 2</w:t>
      </w:r>
    </w:p>
    <w:p>
      <w:r>
        <w:t>Den Parteien wird im Sinne von Art. 307 Abs. 3 ZGB die Weisung erteilt, die in Dispositiv-Ziffer 1 angeordnete sozialpädagogische Familienbegleitung in Anspruch zu nehmen und mit dieser konstruktiv zusammenzuarbeiten.</w:t>
      </w:r>
    </w:p>
    <w:p>
      <w:r>
        <w:rPr>
          <w:b/>
        </w:rPr>
        <w:t>E. 3</w:t>
      </w:r>
    </w:p>
    <w:p>
      <w:r>
        <w:t>Die Parteien und die Kindervertreterin vereinbaren, gemeinsam beim Bezirksgericht Meilen ein Wiedererwägungsgesuch betreffend Dispositiv-Ziffer 5 der Verfügung vom 16. Februar 2023 einzureichen, mit dem Antrag es sei beiden Parteien die Weisung zu erteilen, am fami- lienpsychologischen interventionsorientierten Gutachten mitzuwirken.</w:t>
      </w:r>
    </w:p>
    <w:p>
      <w:r>
        <w:rPr>
          <w:b/>
        </w:rPr>
        <w:t>E. 3.1</w:t>
      </w:r>
    </w:p>
    <w:p>
      <w:r>
        <w:t>Die Parteien ersuchen um Gewährung der unentgeltlichen Rechtspflege und der unentgeltlichen Rechtsvertretung (Urk. 1 S. 2 und Urk. 30 S. 3).</w:t>
      </w:r>
    </w:p>
    <w:p>
      <w:r>
        <w:rPr>
          <w:b/>
        </w:rPr>
        <w:t>E. 3.2</w:t>
      </w:r>
    </w:p>
    <w:p>
      <w:r>
        <w:t>Nach Art. 117 ZPO hat eine Person Anspruch auf unentgeltliche Rechts- pflege, wenn sie nicht über die erforderlichen Mittel verfügt (lit. a) und ihr Rechts- begehren nicht aussichtslos erscheint (lit. b). Ist es zur Wahrung ihrer Rechte notwendig, besteht darüber hinaus ein Anspruch auf unentgeltliche Verbeistän- dung (Art. 118 Abs. 1 lit. c ZPO). Wegen der Waffengleichheit gilt dies insbeson- dere, wenn die Gegenpartei anwaltlich vertreten ist. Als bedürftig gilt, wer für die Kosten des Prozesses nicht aufkommen kann, ohne die Mittel anzugreifen, derer er zur Deckung des notwendigen Lebensunterhalts für sich und seine Familie be-</w:t>
      </w:r>
    </w:p>
    <w:p>
      <w:r>
        <w:t>- 19 - darf. Für die Beurteilung der prozessualen Bedürftigkeit ist die gesamte wirtschaft- liche Situation der gesuchstellenden Partei zum Zeitpunkt der Gesuchstellung (vgl. BGE 135 I 221 E. 5.1) zu würdigen, wobei nicht schematisch auf das betrei- bungsrechtliche Existenzminimum abzustellen, sondern den individuellen Um- ständen Rechnung zu tragen ist (BGE 141 III 369 E. 4.1). Die gesuchstellende Partei hat sowohl ihre Einkommens- als auch ihre Vermögensverhältnisse voll- ständig darzulegen und soweit möglich zu belegen (vgl. Art. 119 Abs. 2 ZPO). Sie hat ihre Mittellosigkeit glaubhaft zu machen (BK ZPO-Bühler, Art. 119 N 38).</w:t>
      </w:r>
    </w:p>
    <w:p>
      <w:r>
        <w:rPr>
          <w:b/>
        </w:rPr>
        <w:t>E. 3.3</w:t>
      </w:r>
    </w:p>
    <w:p>
      <w:r>
        <w:t>Die Parteien vermochten ihre Mittellosigkeit glaubhaft zu machen (vgl. Urk. 1 Rz. 63, Urk. 5/32, Urk. 5/34/6-11, Urk. 5/35, Urk. 5/36/1-32, Urk. 5/40/1-24, Urk. 5/62/33-43, Urk. 5/73/35-37, Urk. 5/88/50-51 und Urk. 30 S. 4). Das Verfah- ren erscheint für beide nicht aussichtslos, was sich nunmehr in der vermittelnden Lösung der intensiven sozialpädagogischen Familienbegleitung widerspiegelt. Aufgrund der Komplexität des Verfahrens und der mit der drohenden Fremdplat- zierung betroffenen gewichtigen Interessen ist die gerichtliche Bestellung einer Rechtsvertretung und zur Wahrung der Waffengleichheit für beide Parteien erfor- derlich.</w:t>
      </w:r>
    </w:p>
    <w:p>
      <w:r>
        <w:rPr>
          <w:b/>
        </w:rPr>
        <w:t>E. 3.4</w:t>
      </w:r>
    </w:p>
    <w:p>
      <w:r>
        <w:t>Die Gesuche der Parteien um unentgeltliche Rechtspflege und unentgeltli- che Rechtsverbeiständung sind gutzuheissen. Zufolge der gewährten unentgeltli- chen Rechtspflege sind die Gerichtskosten einstweilen auf die Gerichtskasse zu nehmen. Vorbehalten bleibt die Nachzahlungspflicht gemäss Art. 123 ZPO.</w:t>
      </w:r>
    </w:p>
    <w:p>
      <w:r>
        <w:rPr>
          <w:b/>
        </w:rPr>
        <w:t>E. 3.5</w:t>
      </w:r>
    </w:p>
    <w:p>
      <w:r>
        <w:t>Mit Eingabe vom 26. Juli 2023 ersucht Fürsprecherin Y._____ um Geneh- migung ihrer Kostennote in der Höhe von gerundet Fr. 3'592.– (inkl. Mehrwert- steuer und Fr. 57.30 für Barauslagen; Urk. 59). Diese Entschädigung erscheint angemessen (§ 5 Abs. 1, § 6 Abs. 1, § 9, § 11 Abs. 1 und 2 und § 13 Abs. 1 und 2 AnwGebV) und lässt sich anhand des Leistungsjournals (Urk. 59) plausibilisieren, weshalb Fürsprecherin Y._____ für ihre Bemühungen und Barauslagen im Beru- fungsverfahren mit Fr. 3'592.– (inkl. Mehrwertsteuer) aus der Gerichtskasse zu entschädigen ist. Vorbehalten bleibt auch hier die Nachzahlungspflicht des Be- klagten gemäss Art. 123 ZPO.</w:t>
      </w:r>
    </w:p>
    <w:p>
      <w:r>
        <w:t>- 20 -</w:t>
      </w:r>
    </w:p>
    <w:p>
      <w:r>
        <w:rPr>
          <w:b/>
        </w:rPr>
        <w:t>E. 3.6</w:t>
      </w:r>
    </w:p>
    <w:p>
      <w:r>
        <w:t>Rechtsanwältin MLaw X._____ wird nach Vorlage ihrer Honorarnote mit separatem Beschluss für ihre Bemühungen und Barauslagen als unentgeltliche Rechtsvertreterin der Klägerin im Berufungsverfahren entschädigt werden. Es wird beschlossen: 1. Die Vereinbarung der Parteien und der Kindervertreterin vom 14. Juli 2023 wird hinsichtlich der Ziffern 2 bis 5 vorgemerkt. Sie lautet wie folgt: " 2. Die Parteien und die Kindervertreterin vereinbaren, gemeinsam beim Bezirksgericht Meilen ein Wiedererwägungsgesuch betreffend Dispositiv-Ziffer 4 der Verfügung vom 16. Februar 2023 einzureichen, mit dem Antrag es sei anstatt eines Erziehungsfähig- keitsgutachtens über die Klägerin ein familienpsychologisches interventionsorientiertes Gutachten anzuordnen. 3. Die Parteien und die Kindervertreterin vereinbaren, gemeinsam beim Bezirksge- richt Meilen ein Wiedererwägungsgesuch betreffend Dispositiv-Ziffer 5 der Verfügung vom 16. Februar 2023 einzureichen, mit dem Antrag es sei beiden Parteien die Wei- sung zu erteilen, am familienpsychologischen interventionsorientierten Gutachten mit- zuwirken. 4. Die Klägerin zieht ihre Berufung gegen Dispositiv-Ziffer 7 der Verfügung des Einzelgerichts im summarischen Verfahren am Bezirksgericht Meilen vom 16. Februar 2023 (Geschäfts-Nr. FE220086-G) zurück.</w:t>
      </w:r>
    </w:p>
    <w:p>
      <w:r>
        <w:rPr>
          <w:b/>
        </w:rPr>
        <w:t>E. 4</w:t>
      </w:r>
    </w:p>
    <w:p>
      <w:r>
        <w:t>Die Klägerin zieht ihre Berufung gegen Dispositiv-Ziffer 7 der Verfügung des Einzelgerichts im summarischen Verfahren am Bezirksgericht Meilen vom 16. Februar 2023 (Geschäfts-Nr. FE220086-G) zurück.</w:t>
      </w:r>
    </w:p>
    <w:p>
      <w:r>
        <w:rPr>
          <w:b/>
        </w:rPr>
        <w:t>E. 4.1</w:t>
      </w:r>
    </w:p>
    <w:p>
      <w:r>
        <w:t>Die Klägerin erachtet eine Kinderanhörung für notwendig, weil die Kinder zu ihrem sozialen und familiären Umfeld nach wie vor nicht hinreichend befragt</w:t>
      </w:r>
    </w:p>
    <w:p>
      <w:r>
        <w:t>- 13 - worden seien, sodass das Gericht die Konsequenz der Fremdplatzierung nicht abschliessend einschätzen könne (Urk. 17 Rz. 17). Dies verunmögliche – neben anderen Gründen –, die Verhältnismässigkeit der angeordneten Kindesschutz- massnahme zu beurteilen (Urk. 36 Rz. 4). Die Bedeutung des aktuellen Umfelds für die Kinder müsse deshalb im Rahmen einer Kinderanhörung festgestellt wer- den (Urk. 17 Rz. 23). Da die Kinder bereits wegen des bestehenden Elternkon- flikts und des hängigen Verfahrens verunsichert seien, gelte es mit besonderer Sorgfalt abzuklären, was eine Fremdplatzierung und ein (erneutes) Entreissen aus dem vertrauten Umfeld für Folgen habe (Urk. 36 Rz. 5). Zudem vermöge eine Befragung der Kinder durch die Kinderprozessbeiständin die persönliche Anhö- rung durch das Gericht keinesfalls zu ersetzen (Urk. 36 Rz. 6). Nachdem sich die Kinder bereits vielen Befragungen hätten stellen müssen und auch in Zukunft stel- len müssten, könne ein Verzicht auf eine erstmalige Kinderanhörung durch das Gericht nicht mit dem Argument der zusätzlichen Belastung gerechtfertigt werden. Angesichts der Schwere der in Frage stehenden Massnahme sei die Belastung einer Befragung durch das Gericht als geringeres Übel einzustufen, als die Kinder mit einem bereits gefällten Entscheid, in den sie nur indirekt einbezogen würden, zu konfrontieren (Urk. 1 Rz. 24).</w:t>
      </w:r>
    </w:p>
    <w:p>
      <w:r>
        <w:rPr>
          <w:b/>
        </w:rPr>
        <w:t>E. 4.2</w:t>
      </w:r>
    </w:p>
    <w:p>
      <w:r>
        <w:t>Die Anhörung des Kindes ist zum einen Ausfluss seiner Persönlichkeit und dient zum anderen der Sachverhaltsfeststellung. Während bei älteren Kindern der persönlichkeitsrechtliche Aspekt im Vordergrund steht und das Kind ein eigenes Mitwirkungsrecht hat, ist die Anhörung bei jüngeren Kindern im Sinne eines Be- weismittels zu verstehen. Kommt das Gericht zum Schluss,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entfällt die Pflicht zur Anhörung des Kindes. Auch der persönlichkeitsrechtliche Aspekt zwingt das Gericht nicht zur Durchführung einer Anhörung, die angesichts eines fehlenden Erkenntniswertes einer reinen Formsache gleichkäme. Demgegenüber darf das Gericht nicht mit der Begründung auf die Anhörung des Kindes verzich- ten, dass es seine Überzeugung schon gewonnen habe und sich davon auch</w:t>
      </w:r>
    </w:p>
    <w:p>
      <w:r>
        <w:t>- 14 - durch die Anhörung des Kindes nicht werde abbringen lassen (sog. echte antizi- pierte Beweiswürdigung; BGer 5A_1066/2020 vom 23. Juli 2021, E. 3.2.).</w:t>
      </w:r>
    </w:p>
    <w:p>
      <w:r>
        <w:rPr>
          <w:b/>
        </w:rPr>
        <w:t>E. 4.3</w:t>
      </w:r>
    </w:p>
    <w:p>
      <w:r>
        <w:t>Mit ihren fünf und acht Jahren befinden sich D._____ und C._____ nahe der Altersgrenze von sechs Jahren, ab der im Sinne einer Richtlinie Kinder anzu- hören sind (vgl. BGE 131 III 553 E. 12.3). Als jüngere Kinder dient ihre Anhörung vor allem der Sachverhaltsabklärung. Wie bereits die Vorinstanz zutreffend fest- hielt, erwiesen sich die Akten in Bezug auf die Kinder bereits vor der angefochte- nen Verfügung als umfangreich. Mit den vor Obergericht vorgenommenen Sach- verhaltsabklärungen wurden die Akten noch ergänzt und insbesondere aktuali- siert. Die Verwurzelung der Kinder in H._____, welche die Klägerin mittels Kin- deranhörung beweisen möchte, ist bereits erstellt. Sie wurde vom Beklagten an- erkannt (Urk. 26 S. 9), was mit der Aktenlage übereinstimmt. Einerseits bedarf es deshalb keiner weiteren Beweisabnahme zu diesem Thema. Andererseits sollten gemäss KOFA-Bericht sowohl C._____ als auch D._____ Aussagen gemacht ha- ben, die auf eine Instrumentalisierung hinweisen (Urk. 5/54 S. 18 f.). Unter den Verbesserungspunkten/Risikofaktoren der Klägerin hält der KOFA-Bericht fest, dass die Klägerin die Kinder beeinflusse und mit nicht kindsgerechten Themen konfrontiere, welche die Kinder vollkommen überfordern und unter Druck setzen würden (Urk. 5/54 S. 15). Es besteht deshalb eine erhebliche Gefahr, dass eine Kinderanhörung die Drucksituation der Kinder verschlimmern und neue Instru- mentalisierungsanreize schaffen könnte. Da durch eine Kinderanhörung wegen der bereits erstellten Verwurzelung der Kinder in H._____ kein Erkenntnisgewinn, sondern einzig eine höhere Belastung der Kinder zu erwarten ist, hat eine solche derzeit zu unterbleiben.</w:t>
      </w:r>
    </w:p>
    <w:p>
      <w:r>
        <w:rPr>
          <w:b/>
        </w:rPr>
        <w:t>E. 4.4</w:t>
      </w:r>
    </w:p>
    <w:p>
      <w:r>
        <w:t>Nach dem Erwogenen ist auch der durch die Vorinstanz ausführlich und zutreffend begründete Entscheid, die Kinder nicht anzuhören (Urk. 2 S. 9 ff.), nicht zu beanstanden und verfangen die diesbezüglich erhobenen Rügen der Klägerin (Urk. 1 Rz. 19 ff.) nicht.</w:t>
      </w:r>
    </w:p>
    <w:p>
      <w:r>
        <w:t>- 15 -</w:t>
      </w:r>
    </w:p>
    <w:p>
      <w:r>
        <w:rPr>
          <w:b/>
        </w:rPr>
        <w:t>E. 5</w:t>
      </w:r>
    </w:p>
    <w:p>
      <w:r>
        <w:t>Dem Beklagten wird für das Berufungsverfahren die unentgeltliche Rechts- pflege gewährt und in der Person von Fürsprecherin Y._____ eine unentgelt- liche Rechtsbeiständin bestellt.</w:t>
      </w:r>
    </w:p>
    <w:p>
      <w:r>
        <w:rPr>
          <w:b/>
        </w:rPr>
        <w:t>E. 6</w:t>
      </w:r>
    </w:p>
    <w:p>
      <w:r>
        <w:t>Fürsprecherin Y._____ wird für ihre Bemühungen und Barauslagen als un- entgeltliche Rechtsbeiständin des Beklagten im Berufungsverfahren mit Fr. 3'592.– (inkl. 7.7 % Mehrwertsteuer) aus der Gerichtskasse entschädigt. Die Nachzahlungspflicht des Beklagten gemäss Art. 123 ZPO bleibt vorbe- halten.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- 24 - Dies ist ein Entscheid über vorsorgliche Massnahmen im Sinne von Art. 98 BGG. Es handelt sich um eine nicht vermögensrechtliche Angelegenheit. Die Beschwerde an das Bundesgericht hat keine aufschiebende Wirkung. Hinsichtlich des Fristenlaufs gelten die Art. 44 ff. BGG, Zürich, 29. August 2023 Obergericht des Kantons Zürich I. Zivilkammer Die Gerichtsschreiberin: MLaw I. Aeberhard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