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LY220026 vom 21. Juni 2022</w:t>
      </w:r>
    </w:p>
    <w:p>
      <w:r>
        <w:t>ZH Obergericht, 2022-06-21, DE</w:t>
      </w:r>
    </w:p>
    <w:p>
      <w:r>
        <w:rPr>
          <w:b/>
        </w:rPr>
        <w:t xml:space="preserve">Quelle: </w:t>
      </w:r>
      <w:r>
        <w:t>https://mcp.opencaselaw.ch/entscheid/zh_obergericht_LY220026</w:t>
      </w:r>
    </w:p>
    <w:p>
      <w:r>
        <w:t>FR: ZH_OBERGERICHT LY220026 du 21 juin 2022</w:t>
      </w:r>
    </w:p>
    <w:p>
      <w:r>
        <w:t>IT: ZH_OBERGERICHT LY220026 del 21 giugno 2022</w:t>
      </w:r>
    </w:p>
    <w:p>
      <w:pPr>
        <w:pStyle w:val="Heading2"/>
      </w:pPr>
      <w:r>
        <w:t>Erwägungen</w:t>
      </w:r>
    </w:p>
    <w:p>
      <w:r>
        <w:rPr>
          <w:b/>
        </w:rPr>
        <w:t>E. 1.1</w:t>
      </w:r>
    </w:p>
    <w:p>
      <w:r>
        <w:t>Die Parteien heirateten am tt. August 1984 und wurden mit Beschluss des Tribunal judiciare de Mulhouse vom tt. Februar 2021 geschieden (act. 1 S. 3). Am</w:t>
      </w:r>
    </w:p>
    <w:p>
      <w:r>
        <w:rPr>
          <w:b/>
        </w:rPr>
        <w:t>E. 1.2</w:t>
      </w:r>
    </w:p>
    <w:p>
      <w:r>
        <w:t>Die Vorinstanz wies die Rechtsvertretung der Berufungsklägerin telefonisch am 7. April 2022 auf die sich stellende Frage der Zuständigkeit des Gerichts hin. Auf Nachfrage teilte diese sodann mit, die vorsorgliche Massnahme nicht im Sin- ne eines Superprovisoriums verlangt zu haben. Am 11. April 2022 stellte die Rechtsvertretung der Berufungsklägerin telefonisch die Einreichung einer schriftli- chen Eingabe zur gerichtlichen Zuständigkeit unter Beilage eines Entscheids des Kantonsgerichts Basel-Landschaft in Aussicht (act. 5). Letztere Eingabe ging am 12. April 2022 bei der Vorinstanz ein (act. 6). In der Folge zeigte Advokat lic. iur. Y._____ die Vertretung des Beklagten und Berufungsbeklagten (fortan Beru- fungsbeklagter) an (act. 7-8). Mit Verfügung vom 13. April 2022 trat die Vorinstanz auf die Klage (Dispositiv-Ziffer 1) sowie das Massnahmebegehren (Dispositiv- Ziffer 2) der Berufungsklägerin nicht ein; sie befand sich für die von der Beru- fungsklägerin eingereichte Ergänzungsklage als (örtlich) nicht zuständig und er- wog, folglich sei auch auf das Massnahmebegehren nicht einzutreten (act. 9 = act. 17 S. 6). Die vorinstanzliche Verfügung wurde der Berufungsklägerin am 21. April 2022 zugestellt (act. 10). 2. 2.1. Mit Eingabe vom 23. Mai 2022 (Datum Poststempel) erhob die Berufungs- klägerin gegen die vorinstanzliche Verfügung vom 13. April 2022 Berufung am Obergericht des Kantons Zürich. Sie verlangt die Aufhebung der vorinstanzlichen Verfügung und die vollumfängliche Gutheissung der von ihr vor Vorinstanz ge- stellten Rechtsbegehren Ziffer 1-5 sowie des Massnahmebegehrens Ziffer 6 (Rechtsmittelantrag Ziffer 1). Die gesamten Prozesskosten (Gerichtskosten und Parteientschädigung) seien der Gegenseite aufzuerlegen (Rechtsmittelantrag Zif- fer 2; act. 14 S. 2). 2.2. In Bezug auf den Rechtsmittelantrag Ziffer 1, insofern dieser die vor Vor- instanz gestellten Rechtsbegehren Ziffer 1-5 betrifft, wurde das Verfahren- Nr. LC220021-O angelegt. Zur Behandlung des Rechtsmittelantrages Ziffer 1, soweit dieser sich auf das von der Berufungsklägerin vor Vorinstanz gestellte</w:t>
      </w:r>
    </w:p>
    <w:p>
      <w:r>
        <w:t>- 4 - Massnahmebegehren betreffend Anordnung einer einstweiligen Auszahlungs- sperre bezieht, wurde von der Kammer das vorliegende Verfahren angelegt. Die Akten des vorinstanzlichen Verfahrens wurden beigezogen (act. 1-12). Auf die Einholung einer Berufungsantwort des Berufungsbeklagten kann verzichtet wer- den (vgl. Art. 312 Abs. 1 ZPO). Ihm ist lediglich mit dem vorliegenden Entscheid eine Kopie der Berufungsschrift zuzustellen. Das Verfahren erweist sich als spruchreif. 3. 3.1. Im vorliegenden Verfahren stehen sich zwei Parteien mit französischer Staatsangehörigkeit und Wohnsitz in Frankreich gegenüber. Die Berufungskläge- rin strebt den Ausgleich der während der Ehe geäufneten Vorsorgeguthaben der Parteien bei den schweizerischen Einrichtungen der beruflichen Vorsorge an resp. verlangt die Anordnung einer Auszahlungssperre als vorsorgliche Massnah- me gegenüber der Einrichtung der beruflichen Vorsorge des Berufungsbeklagten in E._____ . Damit ist ein Sachverhalt mit qualifiziertem Auslandsbezug resp. ein internationales Verhältnis im Sinne von Art. 1 Abs. 1 des Bundesgesetzes über das internationale Privatrecht vom 18. Dezember 1987 (IPRG, SR 291) gegeben. Jedes Gericht wendet im internationalen Verhältnis grundsätzlich das Prozess- und Verfahrensrecht des eigenen Staates (lex fori) an (Walter/Domej, Internatio- nales Zivilprozessrecht der Schweiz, 5. Aufl. 2012, § 1 I 3 S. 54; Schny- der/Liatowitsch, Internationales Privat- und Zivilverfahrensrecht, 4. Aufl. 2017, S. 181; ZR 109/2010 S. 257, E. 5.a). Auf das vorliegende Verfahren kommt somit die Schweizerische Zivilprozessordnung (ZPO) zur Anwendung. 3.2. Nach Art. 308 Abs. 1 lit. b ZPO ist gegen erstinstanzliche Entscheide betref- fend vorsorgliche Massnahmen, welche die Vorinstanz in Dispositiv-Ziffer 2 der Verfügung vom 13. April 2022 traf (act. 17 S. 6), die Berufung gegeben. Bei der verlangten Anordnung einer Auszahlungssperre gegenüber der Einrichtung der beruflichen Vorsorge des Berufungsbeklagten im Verfahren um Anerkennung des ausländischen Scheidungsurteils und dessen Ergänzung (Vorsorgeausgleich) handelt es sich um eine vermögensrechtliche Streitigkeit. Die Berufung ist nur zu- lässig, wenn der Streitwert der zuletzt aufrechterhaltenen Rechtsbegehren min-</w:t>
      </w:r>
    </w:p>
    <w:p>
      <w:r>
        <w:t>- 5 - destens Fr. 10'000.00 beträgt (Art. 308 Abs. 2). Die Höhe des geäufneten Vorsor- geguthabens des Berufungsbeklagten bei der C._____, über welches die Auszah- lungssperre vorsorglich verlangt wird, ist zwar nicht bekannt; eine Durchführbar- keitserklärung liegt (noch) nicht vor. Jedoch ist aufgrund der über 36 -jährigen Ehe der Parteien und der Höhe des Vorsorgeguthabens der Berufungsklägerin bei der F._____ SA von Fr. 36'295.25 (act. 2/2) davon auszugehen, dass der für die Berufung vorausgesetzte Rechtsmittelstreitwert gegeben ist (vgl. auch act. 14 S. 4 N 4 und act. 17 S. 6). 3.3.1. Nach Eingang einer Klage oder eines Rechtsmittels wie der Berufung prüft das Gericht von Amtes wegen, ob die Prozess- bzw. Rechtsmittelvorausset- zungen erfüllt sind. Zu den Rechtsmittelvoraussetzungen gehört die Einhaltung der gesetzlich vorgesehenen Rechtsmittelfrist. Die Berufung gegen erstinstanzli- che Entscheide betreffend vorsorgliche Massnahmen ist bei der Rechtsmittelin- stanz innert 10 Tagen einzureichen (Art. 248 lit. d resp. Art. 276 Abs. 1 i.V.m. Art. 271 ZPO, Art. 311 Abs. 1 i.V.m. Art. 314 Abs. 1 ZPO). Die Fristenstillstände gelten nicht (Art. 145 Abs. 2 lit. b ZPO). Eine Erstreckung der Berufungsfrist ist ausgeschlossen (Art. 144 Abs. 1 ZPO), da es sich um eine gesetzliche Frist han- delt (Art. 314 Abs. 1 ZPO). Die Frist ist gewahrt, wenn die Eingabe spätestens am letzten Tag der Frist zu Handen des Gerichts der Schweizerischen Post oder ei- ner schweizerischen konsularischen oder diplomatischen Vertretung übergeben wird (Art. 143 Abs. 1 ZPO). Die anwaltlich vertretene Berufungsklägerin reichte ihre Berufung gemäss Post- stempel am vorletzten Tag der 30-tägigen Frist ein, welche die Vorinstanz in Dis- positiv-Ziffer 7 ihrer Verfügung vom 13. April 2022 belehrte. Die Vorinstanz unter- liess es unrichtigerweise, in Bezug auf das Nichteintreten auf das Massnahmebe- gehren (Dispositiv-Ziffer 2) die kürzere 10-tägige Berufungsfrist zu belehren (act. 17 S. 7). 3.3.2. Nach der bundesgerichtlichen Rechtsprechung darf der beschwerten Par- tei aus einer falschen oder fehlenden Rechtsmittelbelehrung grundsätzlich kein Nachteil erwachsen. Die beschwerte Partei darf sich somit grundsätzlich auf die Rechtsmittelbelehrung verlassen, ausser wenn das Gericht sofort erkennbar eine</w:t>
      </w:r>
    </w:p>
    <w:p>
      <w:r>
        <w:t>- 6 - ganz offensichtlich falsche Rechtsmittelbelehrung erteilt hat, oder wenn die Partei oder ihre Vertretung deren Unrichtigkeit tatsächlich gekannt oder bei pflichtge- mässer Aufmerksamkeit hätte erkennen müssen. Wann der Prozesspartei, die sich auf eine unrichtige Rechtsmittelbelehrung verlassen hat, eine als grob zu wertende Unsorgfalt vorzuwerfen ist, beurteilt sich nach den konkreten Umstän- den und nach ihren Rechtskenntnissen (BGE 124 I 255 E. 1.aa; vgl. auch BGE 117 Ia 119 E. 3.a, BGE 117 Ia 421 E. 2.a, BGE 135 III 374; ferner BSK ZPO- Steck, 3. Aufl. Basel 2017, Art. 238 N 34, und auch ZK ZPO-Staehelin, 3. Aufl. 2016, Art. 238 N 27 sowie BK ZPO-Killias, Bern 2012, Art. 238 N 29). Ein Anwalt muss die Unrichtigkeit einer Rechtsmittelbelehrung durch Konsultation des mass- gebenden klaren Gesetzestextes erkennen, d.h. in der Regel kann vorausgesetzt werden, dass ein Anwalt – im Gegensatz zu nicht anwaltlich vertretenen Parteien – Kenntnis von den gesetzlichen Regelungen der Rechtsmittel und Rechtsmittel- fristen hat. Wenn die Mangelhaftigkeit der Rechtsmittelbelehrung schwer erkenn- bar ist und nur nach Konsultation von Lehre und Rechtsprechung festgestellt wer- den kann, so ist bei allen Parteien – unabhängig davon, ob sie anwaltlich vertre- ten sind oder nicht – das Vertrauen in die Rechtsmittelbelehrung zu schützen (BSK ZPO-Steck, a.a.O., Art. 238 N 34; ZK ZPO-Staehelin, a.a.O., Art. 238 N 27; BK ZPO-Killias, a.a.O., Art. 238 N 29; vgl. BGE 117 Ia 421 E. 2.a und BGE 117 Ia 119 E. 3.a). 3.3.3. Der Anwalt der Berufungsklägerin hätte die Unrichtigkeit der Rechtsmit- telbelehrung aufgrund der klaren Vorschrift in Art. 248 lit. d resp. Art. 276 Abs. 1 i.V.m. Art. 271 ZPO und 314 Abs. 1 ZPO erkennen müssen und durfte sich des- halb nicht auf die falsche (bzw. unvollständige) Rechtsmittelbelehrung der Vor- instanz verlassen. Die Erhebung der Berufung gegen Dispositiv-Ziffer 2 der vor- instanzlichen Verfügung vom 13. April 2022 erfolgte damit klar verspätet; es ist auf die Berufung nicht einzutreten. 4. Bei diesem Ausgang des Verfahrens wird die Berufungsklägerin kosten- pflichtig (Art. 106 ZPO). Bei der Festsetzung der Entscheidgebühr ist in Anwen- dung von § 4 Abs. 1-3, § 10 Abs. 1 und § 12 Abs. 1 und 2 der Gebührenverord- nung des Obergerichts (GebV OG) zu berücksichtigen, dass das Verfahren ohne</w:t>
      </w:r>
    </w:p>
    <w:p>
      <w:r>
        <w:t>- 7 - Anspruchsprüfung zu erledigen ist, mithin der Zeitaufwand sowie die Schwierig- keit des Falles sehr gering waren. Es rechtfertigt sich daher, die Entscheidgebühr auf Fr. 300.00 festzusetzen. Entschädigungen sind keine auszurichten, der Beru- fungsklägerin nicht weil sie unterliegt, dem Berufungsbeklagten nicht, weil ihm durch das Berufungsverfahren keine entschädigungspflichtigen Aufwendungen entstanden sind. Es wird beschlossen:</w:t>
      </w:r>
    </w:p>
    <w:p>
      <w:r>
        <w:rPr>
          <w:b/>
        </w:rPr>
        <w:t>E. 6</w:t>
      </w:r>
    </w:p>
    <w:p>
      <w:r>
        <w:t>Es sei die C._____, Chemin D._____ 1, … E._____, unverzüglich an- zuweisen, bis zum Abschluss des laufenden Vorsorgeausgleichs sämt-</w:t>
      </w:r>
    </w:p>
    <w:p>
      <w:r>
        <w:t>- 3 - liche Auszahlungen zu Lasten des geschiedenen Ehemannes, Herrn B._____, zu unterlassen (einstweilige Auszahlungssperre)."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