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LY220024 vom 21. Juli 2022</w:t>
      </w:r>
    </w:p>
    <w:p>
      <w:r>
        <w:t>ZH Obergericht, 2022-07-21, DE</w:t>
      </w:r>
    </w:p>
    <w:p>
      <w:r>
        <w:rPr>
          <w:b/>
        </w:rPr>
        <w:t xml:space="preserve">Quelle: </w:t>
      </w:r>
      <w:r>
        <w:t>https://mcp.opencaselaw.ch/entscheid/zh_obergericht_LY220024</w:t>
      </w:r>
    </w:p>
    <w:p>
      <w:r>
        <w:t>FR: ZH_OBERGERICHT LY220024 du 21 juillet 2022</w:t>
      </w:r>
    </w:p>
    <w:p>
      <w:r>
        <w:t>IT: ZH_OBERGERICHT LY220024 del 21 luglio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Schreiben vom 2. Juni 2022, beim Obergericht eingegangen am</w:t>
      </w:r>
    </w:p>
    <w:p>
      <w:r>
        <w:rPr>
          <w:b/>
        </w:rPr>
        <w:t>E. 3</w:t>
      </w:r>
    </w:p>
    <w:p>
      <w:r>
        <w:t>Abteilung, vom 21. Dezember 2020 hängig (Geschäfts-Nr. LE210006-O). Das Bundesgericht hat zwischenzeitlich entschieden, dass das Eheschutzgericht auch Noven zu berücksichtigen hat, die nach Rechtshängigkeit der Scheidung eingetre- ten sind (BGE 148 III 95 E. 4.5). Da zurzeit trotz des Rückzugs nicht ausge- schlossen werden kann, dass die Akten des vorliegenden Verfahrens im Ehe- schutzverfahren benötigt werden, sind sie im Verfahren LE210006-O beizuziehen.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