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LY220001 vom 21. März 2022</w:t>
      </w:r>
    </w:p>
    <w:p>
      <w:r>
        <w:t>ZH Obergericht, 2022-03-21, DE</w:t>
      </w:r>
    </w:p>
    <w:p>
      <w:r>
        <w:rPr>
          <w:b/>
        </w:rPr>
        <w:t xml:space="preserve">Quelle: </w:t>
      </w:r>
      <w:r>
        <w:t>https://mcp.opencaselaw.ch/entscheid/zh_obergericht_LY220001</w:t>
      </w:r>
    </w:p>
    <w:p>
      <w:r>
        <w:t>FR: ZH_OBERGERICHT LY220001 du 21 mars 2022</w:t>
      </w:r>
    </w:p>
    <w:p>
      <w:r>
        <w:t>IT: ZH_OBERGERICHT LY220001 del 21 marzo 2022</w:t>
      </w:r>
    </w:p>
    <w:p>
      <w:pPr>
        <w:pStyle w:val="Heading2"/>
      </w:pPr>
      <w:r>
        <w:t>Erwägungen</w:t>
      </w:r>
    </w:p>
    <w:p>
      <w:r>
        <w:rPr>
          <w:b/>
        </w:rPr>
        <w:t>E. 1</w:t>
      </w:r>
    </w:p>
    <w:p>
      <w:r>
        <w:t>Die Parteien haben am tt. September 2008 geheiratet und haben drei ge- meinsame Kinder: C._____, geb.tt.mm.2011, D._____, geb. tt.mm.2013 und E._____, geb. tt.mm.2015 (Urk. 7/2). Am 20. September 2017 machte die Kläge- rin, Gesuchsgegnerin und Berufungsbeklagte (fortan Gesuchsgegnerin) am Be- zirksgericht Hinwil ein Eheschutzverfahren anhängig (Urk. 7/6/1, Geschäfts- Nr. EE170072). Am 6. bzw. 11. Februar 2018 unterschrieben die Parteien eine Trennungsvereinbarung (Urk. 7/6/29-30). Mit Urteil vom 20. Februar 2018 wurde das Eheschutzverfahren beendet (Urk. 7/6/31 S. 3 f.). In der Folge ersuchte der Beklagte, Gesuchsteller und Berufungskläger (fortan Gesuchsteller) mit Eingabe vom 7. März 2019 am Bezirksgericht Hinwil um Abänderung der Ziffern 2c (Be- treuungsregelung), 3 (Regelung der Kinderkosten) und 5 (Grundlagen der Unter- haltsberechnung) der Trennungsvereinbarung (Urk. 7/7/1-1A). Das Abänderungs- gesuch wurde mit Urteil vom 21. Mai 2019 abgewiesen (Urk. 7/7/18). Die dagegen vom Gesuchsteller erhobene Berufung wurde teilweise infolge Klagerückzug ab- geschrieben und im Übrigen abgewiesen (Urk. 7/7/24 S. 10).</w:t>
      </w:r>
    </w:p>
    <w:p>
      <w:r>
        <w:t>- 4 -</w:t>
      </w:r>
    </w:p>
    <w:p>
      <w:r>
        <w:rPr>
          <w:b/>
        </w:rPr>
        <w:t>E. 1.1</w:t>
      </w:r>
    </w:p>
    <w:p>
      <w:r>
        <w:t>Eine Abänderung vorsorglicher Massnahmen im Scheidungsverfahren setzt eine Veränderung der Verhältnisse voraus (Art. 276 Abs. 1 ZPO i.V.m. Art. 179 Abs. 1 ZGB). Verlangt ist dabei eine nicht voraussehbare wesentliche und dau- ernde Veränderung. Eine Abänderung ist ferner angebracht, wenn die tatsächli- chen Umstände, die dem Massnahmeentscheid zu Grunde lagen, sich nachträg-</w:t>
      </w:r>
    </w:p>
    <w:p>
      <w:r>
        <w:t>- 6 - lich als unrichtig erwiesen haben oder wenn sich der Entscheid nachträglich im Ergebnis als nicht gerechtfertigt herausstellt, weil dem Massnahmegericht die Tatsachen nicht zuverlässig bekannt waren. Andernfalls steht die formelle Rechtskraft des Eheschutz- bzw. des Präliminarentscheids einer Abänderung entgegen. Eine Abänderung ist ferner ausgeschlossen, wenn die Sachlage durch eigenmächtiges, widerrechtliches, mithin rechtsmissbräuchliches Verhalten her- beigeführt worden ist (BGE 141 III 376 E. 3.3.1 m.w.H).</w:t>
      </w:r>
    </w:p>
    <w:p>
      <w:r>
        <w:rPr>
          <w:b/>
        </w:rPr>
        <w:t>E. 1.2</w:t>
      </w:r>
    </w:p>
    <w:p>
      <w:r>
        <w:t>Beruht eine Eheschutzmassnahme oder eine vorsorgliche Massnahme auf einer Vereinbarung, sind die Möglichkeiten zur Abänderung eingeschränkt. Insbe- sondere kann keine Anpassung an veränderte Verhältnisse verlangt werden be- züglich Tatsachen, die vergleichsweise definiert worden sind, um eine ungewisse Sachlage zu bewältigen (BGE 142 III 518 E. 2.6; caput controversum). 2. Abänderungsobjekt bildet das Urteil des Bezirksgerichts Hinwil vom 20. Februar 2018 (Urk. 7/6/31). Die Parteien schlossen im Rahmen des Ehe- schutzverfahrens einen Vergleich, in welchem sich der Gesuchsteller verpflichte- te, ab April 2018 für die weitere Dauer des Getrenntlebens Kinderunterhaltsbei- träge von Fr. 416.65 pro Kind (insgesamt Fr. 1'250.–; davon Fr. 0.– Betreuungs- unterhalt) zuzüglich Familienzulagen zu bezahlen. Der Unterhaltspflicht lag ein monatliches Nettoeinkommen der Gesuchsgegnerin von Fr. 4'780.– (50%- Pensum, inkl. 13 ML, inkl. Kinderzulage von Fr. 20.– pro Kind ) sowie des Ge- suchstellers von Fr. 5'247.– (60%-Pensum, inkl. 13. ML) zugrunde (Urk. 7/6/31 S. 4). 3. Der Gesuchsteller begründete sein vorsorgliches Abänderungsgesuch vor Vorinstanz damit, dass sich das Einkommen der Gesuchsgegnerin seit dem Er- lass des Eheschutzurteils vom 20. Februar 2018 wesentlich und dauerhaft verän- dert habe. Inzwischen habe sie ihr Arbeitspensum von 50% auf 60% erhöht. Ge- mäss den Lohnabrechnungen Juni bis September 2021 betrage ihr monatliches Nettoeinkommen nun Fr. 5'416.10 exklusive Kinderzulagen. Die darin enthaltene FVP-Spesenpauschale von Fr. 333.– stelle Lohnbestandteil dar, zumal die Ge- suchsgegnerin keineswegs glaubhaft gemacht habe, dass die Spesen zusätzliche Aufgaben und Mehrkosten abdecken würden. Somit habe sich das monatliche</w:t>
      </w:r>
    </w:p>
    <w:p>
      <w:r>
        <w:t>- 7 - Nettoeinkommen um Fr. 696.10 und damit um 14.75 % erhöht. Dabei handle es sich um eine wesentliche Veränderung (Urk. 7/57; Urk. 7/68; Urk. 7/77).</w:t>
      </w:r>
    </w:p>
    <w:p>
      <w:r>
        <w:rPr>
          <w:b/>
        </w:rPr>
        <w:t>E. 2</w:t>
      </w:r>
    </w:p>
    <w:p>
      <w:r>
        <w:t>Die Parteien stehen sich seit dem 3. Februar 2020 nunmehr in einem Schei- dungsverfahren vor dem Einzelgericht des Bezirksgerichts Hinwil (nachfolgend Vorinstanz) gegenüber (Urk. 7/1). Mit Eingabe vom 30. August 2021 stellte der Gesuchsteller ein Gesuch um vorsorgliche Abänderung der mit Eheschutzurteil vom 20. Februar 2018 festgesetzten Unterhaltsbeiträge für die drei Kinder (Urk. 7/57 S. 2). Die Vorinstanz wies den Antrag auf vorsorgliche Massnahmen mit Verfügung vom 30. November 2021 ab (Urk. 2 S. 8).</w:t>
      </w:r>
    </w:p>
    <w:p>
      <w:r>
        <w:rPr>
          <w:b/>
        </w:rPr>
        <w:t>E. 4</w:t>
      </w:r>
    </w:p>
    <w:p>
      <w:r>
        <w:t>Für das Berufungsverfahren werden keine Parteientschädigungen zuge- sprochen.</w:t>
      </w:r>
    </w:p>
    <w:p>
      <w:r>
        <w:rPr>
          <w:b/>
        </w:rPr>
        <w:t>E. 4.1</w:t>
      </w:r>
    </w:p>
    <w:p>
      <w:r>
        <w:t>= Pra 2012 Nr. 62). 5.2. Mit der Eventualbegründung der Vorinstanz setzt sich der Gesuchsteller kaum auseinander. So führt er mit Verweis auf seine vor Vorinstanz angestellten Berechnungen lediglich aus, als Folge der veränderten Einkommensverhältnisse bestehe im Haushalt der Gesuchsgegnerin ein Überschuss von rund Fr. 1'100.– und bei ihm von nur knapp Fr. 290.– (Urk. 1 S. 5). Auf diese Berechnung kann in- des von Vornherein nicht abgestellt werden, zumal er darin etwa im Bedarf der Gesuchsgegnerin zusammen mit den Anteilen der Kinder ohne nähere Erklärung lediglich einen Mietzins von Fr. 2'000.– berücksichtigt, obwohl dieser ausgewie- senermassen Fr. 2'619.– beträgt (vgl. Urk. 7/35/13). Für eine Reduktion auf einen aus seiner Sicht angemessenen Mietzins (vgl. Urk. 7/65 Rz. 63) besteht mit Hin- weis auf das sog. caput controversum (vgl. vorstehend E. III.1.2) jedoch kein Raum. Sodann ist der Gesuchsteller in seiner Berechnung von einem Nettoein- kommen der Gesuchsgegnerin von Fr. 5'664.–, entsprechend einem auf 60% hochgerechneten Einkommen bei ihrer ehemaligen Arbeitgeberin, ausgegangen (vgl. Urk. 7/6/68 S. 4). In der Trennungsvereinbarung sind die Parteien ausge- hend von den nach wie vor geltenden Betreuungsanteilen übereingekommen, dass die Gesuchsgegnerin einer 50%-Erwerbstätigkeit und der Gesuchsteller ei- ner 60%-Erwerbstätigkeit nachzugehen hat. Entsprechend besteht aktuell keine</w:t>
      </w:r>
    </w:p>
    <w:p>
      <w:r>
        <w:t>- 10 - Pflicht der Gesuchsgegnerin, in einem 60%-Pensum zu arbeiten, weshalb auch keine Basis besteht, von ihr ein noch höheres als das aktuell mit einem erhöhten Effort erzielte Einkommen zu verlangen. Entgegen der Auffassung des Gesuch- stellers hat sie demzufolge auch nicht zu begründen, weshalb sie ihre Stelle ge- wechselt hat und nicht einfach ihr Pensum bei der ehemaligen Arbeitgeberin auf 60% erhöht hat (Urk. 1 S. 6). Gleichermassen kann es keine Rolle spielen, dass der Gesuchsteller – offenbar um „eine Chance zu haben”, dass seinem Ziel einer gleichmässigen Betreuungszeit entsprochen werde – seit rund drei Jahren nur mit einem Pensum von 49% anstatt der vereinbarten 60% arbeitet (vgl. Urk. 1 S. 6). Unter der Annahme, dass den Spesen tatsächlich keinerlei berufsbedingte Mehr- kosten gegenüberstünden und diese vollumfänglich Einkommen darstellten, stün- den der Gesuchsgegnerin mit den Kindern Fr. 696.– mehr zur Verfügung als bis- her. Es trifft zwar zu, dass die Kinder auch auf Seiten des Gesuchstellers unmit- telbar davon profitieren würden, wenn er über mehr finanzielle Mittel verfügen würde (vgl. Urk. 1 S. 7). Ein anpassungswürdiges Ungleichgewicht der Unterhalts- last geht daraus jedoch nicht hervor, zumal auch der Betreuungsanteil der Ge- suchsgegnerin höher ist und es demnach jedenfalls nicht unangemessen er- scheint, wenn auf ihrer Seite durch den freiwilligen Effort etwas mehr Mittel zur Verfügung stehen. Dass er durch die Unterhaltslast von Fr. 1'250.– übermässig belastet wäre, macht der Gesuchsteller sodann auch im Berufungsverfahren nicht geltend. Einhergehend mit der Vorinstanz führt deshalb die freiwillige Erhöhung der Leistungspflicht der unterhaltsberechtigten Gesuchsgegnerin nicht zu einer vorsorglichen Abänderung der Unterhaltspflicht des Gesuchstellers. 5.4. Dem Gesagten zufolge erweist sich die Berufung als unbegründet. Demge- mäss ist die Berufung abzuweisen und das angefochtene Urteil zu bestätigen (Art. 318 Abs. 1 lit. a ZPO). IV. 1. Die zweitinstanzliche Entscheidgebühr ist in Anwendung von § 2 Abs. 1, § 4 Abs. 1 und 3, § 8 Abs. 1 und § 12 Abs. 1 und 2 GebV OG der Gerichtsgebühren- verordnung auf Fr. 2'000.– festzusetzen. Die Gerichtskosten des Berufungsver-</w:t>
      </w:r>
    </w:p>
    <w:p>
      <w:r>
        <w:t>- 11 - fahrens sind ausgangsgemäss dem Gesuchsteller aufzuerlegen (Art. 106 Abs. 1 ZPO). 2. Für das Berufungsverfahren sind keine Parteientschädigungen zuzuspre- chen, dem Gesuchsteller zufolge seines Unterliegens, der Gesuchsgegnerin mangels relevanter Umtriebe (Art. 106 Abs. 1, Art. 95 Abs. 3 ZPO). Es wird erkannt: 1. Die Berufung wird abgewiesen und das Urteil des Einzelgerichts am Be- zirksgericht Hinwil vom 30. November 2021 wird bestätigt. 2. Die zweitinstanzliche Entscheidgebühr wird auf Fr. 2'000.– festgesetzt. 3. Die Gerichtskosten des Berufungsverfahrens werden dem Gesuchsteller auferlegt.</w:t>
      </w:r>
    </w:p>
    <w:p>
      <w:r>
        <w:rPr>
          <w:b/>
        </w:rPr>
        <w:t>E. 5</w:t>
      </w:r>
    </w:p>
    <w:p>
      <w:r>
        <w:t>Schriftliche Mitteilung an die Parteien, an die Gesuchsgegnerin unter Beila- ge des Doppels von Urk. 1, sowie an die Vorinstanz, je gegen Empfangs- 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betreffend vorsorgliche Massnahmen im Sinne von Art. 98 BGG.</w:t>
      </w:r>
    </w:p>
    <w:p>
      <w:r>
        <w:t>- 12 - Es handelt sich um eine vermögensrechtliche Angelegenheit. Der Streitwert übersteigt Fr. 30'000.–. Die Beschwerde an das Bundesgericht hat keine aufschiebende Wirkung. Hinsichtlich des Fristenlaufs gelten die Art. 44 ff. BGG. Zürich, 21. März 2022 Obergericht des Kantons Zürich I. Zivilkammer Die Gerichtsschreiberin: MLaw S. Meisel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