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LY210051 vom 7. Dezember 2021</w:t>
      </w:r>
    </w:p>
    <w:p>
      <w:r>
        <w:t>ZH Obergericht, 2021-12-07, DE</w:t>
      </w:r>
    </w:p>
    <w:p>
      <w:r>
        <w:rPr>
          <w:b/>
        </w:rPr>
        <w:t xml:space="preserve">Quelle: </w:t>
      </w:r>
      <w:r>
        <w:t>https://mcp.opencaselaw.ch/entscheid/zh_obergericht_LY210051</w:t>
      </w:r>
    </w:p>
    <w:p>
      <w:r>
        <w:t>FR: ZH_OBERGERICHT LY210051 du 7 décembre 2021</w:t>
      </w:r>
    </w:p>
    <w:p>
      <w:r>
        <w:t>IT: ZH_OBERGERICHT LY210051 del 7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Im Rahmen des zwischen den Parteien hängigen Scheidungsverfah- rens erliess die Vorinstanz unter dem 1. November 2021 die angefochtene Verfü- gung mit nachfolgendem Dispositiv (Urk. 6/675 = Urk. 2): "1. Die Videokontakte der Beklagten zu ihren Kindern beginnen mit ei- nem Austausch von Videobotschaften. Verläuft dieser Austausch von Videobotschaften für die Kinder belastungsfrei, wird die Be- klagte für berechtigt erklärt, einmal im Monat ihre Töchter im Rah- men eines begleiteten Video-Kontakts von je 15 Minuten pro Kind zu sprechen. Die Besuchsbegleitung hat die Kompetenz, die Videobotschaft(en) der Beklagten zurückzuweisen, wenn diese für die Kinder belas- tende Inhalte aufweisen. Die Begleitung hat ferner die Kompetenz, das live-Gespräch zu un- terbrechen oder zu beenden, sofern die Beklagte kindswohlgefähr- dende Aussagen macht. Die Beiständin hat die Kompetenz, bei für das Wohlbefinden der Kinder positiv verlaufenden Kontakten den Videokontakt von 15 auf je 30 Minuten pro Kind auszudehnen.</w:t>
      </w:r>
    </w:p>
    <w:p>
      <w:r>
        <w:rPr>
          <w:b/>
        </w:rPr>
        <w:t>E. 2</w:t>
      </w:r>
    </w:p>
    <w:p>
      <w:r>
        <w:t>Der Berufung sei die aufschiebende Wirkung zu erteilen.</w:t>
      </w:r>
    </w:p>
    <w:p>
      <w:r>
        <w:rPr>
          <w:b/>
        </w:rPr>
        <w:t>E. 3</w:t>
      </w:r>
    </w:p>
    <w:p>
      <w:r>
        <w:t>Der Berufungsklägerin sei ein zweiwöchentliches, persönliches Be- suchsrecht zu gewähren.</w:t>
      </w:r>
    </w:p>
    <w:p>
      <w:r>
        <w:t>- 3 -</w:t>
      </w:r>
    </w:p>
    <w:p>
      <w:r>
        <w:rPr>
          <w:b/>
        </w:rPr>
        <w:t>E. 4</w:t>
      </w:r>
    </w:p>
    <w:p>
      <w:r>
        <w:t>Dr. med. E._____, F._____ sei zur sinnvollen Gestaltung des Be- suchsrechts zu befragen bzw. um Auskunft zu bitten.</w:t>
      </w:r>
    </w:p>
    <w:p>
      <w:r>
        <w:rPr>
          <w:b/>
        </w:rPr>
        <w:t>E. 5</w:t>
      </w:r>
    </w:p>
    <w:p>
      <w:r>
        <w:t>Eventualiter: Der Kindsmutter seien monatlich 30-minütige Video- kontakte mit Unterstützung von Herrn Dr. med. E._____ zu ermög- lichen.</w:t>
      </w:r>
    </w:p>
    <w:p>
      <w:r>
        <w:rPr>
          <w:b/>
        </w:rPr>
        <w:t>E. 6</w:t>
      </w:r>
    </w:p>
    <w:p>
      <w:r>
        <w:t>Der Berufungsklägerin sei mit Wirkung ab 8. November 2021 die unentgeltliche Rechtspflege zu gewähren und es sei der unter- zeichnende Anwalt als ihr unentgeltlicher Rechtsvertreter einzuset- zen.</w:t>
      </w:r>
    </w:p>
    <w:p>
      <w:r>
        <w:rPr>
          <w:b/>
        </w:rPr>
        <w:t>E. 7</w:t>
      </w:r>
    </w:p>
    <w:p>
      <w:r>
        <w:t>Die Gerichtsgebühr für das Berufungsverfahren ist in Anwendung von § 5 Abs. 1, § 6 Abs. 1, § 8 Abs. 1 und § 12 Abs. 1 und 2 GebV OG auf Fr. 1'200.– festzusetzen. Sie ist ausgangsgemäss der unterliegenden Beklagten aufzuerle- gen (Art. 106 Abs. 1 ZPO). Für das Berufungsverfahren sind keine Parteientschädigungen zuzuspre- chen, der Beklagten zufolge ihres Unterliegens, dem Kläger und Berufungsbe- klagten (fortan Kläger) mangels relevanter Umtriebe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