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LY210009 vom 3. November 2021</w:t>
      </w:r>
    </w:p>
    <w:p>
      <w:r>
        <w:t>ZH Obergericht, 2021-11-03, DE</w:t>
      </w:r>
    </w:p>
    <w:p>
      <w:r>
        <w:rPr>
          <w:b/>
        </w:rPr>
        <w:t xml:space="preserve">Quelle: </w:t>
      </w:r>
      <w:r>
        <w:t>https://mcp.opencaselaw.ch/entscheid/zh_obergericht_LY210009</w:t>
      </w:r>
    </w:p>
    <w:p>
      <w:r>
        <w:t>FR: ZH_OBERGERICHT LY210009 du 3 novembre 2021</w:t>
      </w:r>
    </w:p>
    <w:p>
      <w:r>
        <w:t>IT: ZH_OBERGERICHT LY210009 del 3 novembre 2021</w:t>
      </w:r>
    </w:p>
    <w:p>
      <w:pPr>
        <w:pStyle w:val="Heading2"/>
      </w:pPr>
      <w:r>
        <w:t>Erwägungen</w:t>
      </w:r>
    </w:p>
    <w:p>
      <w:r>
        <w:rPr>
          <w:b/>
        </w:rPr>
        <w:t>E. 1</w:t>
      </w:r>
    </w:p>
    <w:p>
      <w:r>
        <w:t>Die Parteien sind verheiratet und haben zwei gemeinsame Kinder: C._____, geboren am tt.mm.2012, und D._____, geboren am tt.mm.2013. Mit Entscheid des Bezirksgerichts Kulm vom 6. Februar 2015 betreffend Eheschutz wurden die beiden Kinder unter die Obhut der Beklagten gestellt und dem Kläger ein (beglei- tetes) Besuchsrecht eingeräumt. Zusätzlich wurde der Kläger verpflichtet, für die beiden Kinder Unterhaltsbeiträge zu bezahlen (Urk. 6/6/6 S. 6). Das Obergericht des Kantons Aargau passte in der Folge am 24. August 2015 unter anderem die vom Kläger zu leistenden Unterhaltsbeiträge an (Urk. 6/17/3 S. 35 ff.). Die beim Bezirksgericht Kulm eingereichte Scheidungsklage zog die Beklagte wieder zu- rück, woraufhin das Verfahren als durch Klagerückzug erledigt abgeschrieben wurde (Urk. 6/20).</w:t>
      </w:r>
    </w:p>
    <w:p>
      <w:r>
        <w:rPr>
          <w:b/>
        </w:rPr>
        <w:t>E. 1.1</w:t>
      </w:r>
    </w:p>
    <w:p>
      <w:r>
        <w:t>Die Vorinstanz ging im angefochtenen Entscheid davon aus, dass eine we- sentliche und dauerhafte Reduktion der Leistungsfähigkeit des Klägers vorliege. Nach Anpassung der Bedarfspositionen an die aktuellen Verhältnisse sowie unter Berücksichtigung eines (hypothetischen) Einkommens auf Seiten der Beklagten verpflichtete die Vorinstanz den Kläger für die Zeit vom 10. Juni 2020 bis 31. Mai 2021 zur Bezahlung von monatlichen Unterhaltsbeiträgen von Fr. 585.– je Kind sowie von Fr. 2'748.– für die Beklagte persönlich bzw. ab 1. Juni 2021 von</w:t>
      </w:r>
    </w:p>
    <w:p>
      <w:r>
        <w:t>- 9 - Fr. 610.– für C._____ und Fr. 1'868.– (hiervon Fr. 1'258.– Betreuungsunterhalt) für D._____ (vgl. Urk. 2).</w:t>
      </w:r>
    </w:p>
    <w:p>
      <w:r>
        <w:rPr>
          <w:b/>
        </w:rPr>
        <w:t>E. 1.2</w:t>
      </w:r>
    </w:p>
    <w:p>
      <w:r>
        <w:t>Dass ein Abänderungsgrund gegeben ist, wird im Rechtsmittelverfahren nicht in Abrede gestellt. Bemängelt wird seitens der Beklagten das dem Kläger angerechnete Einkommen, die Berücksichtigung bzw. die Höhe mehrerer Positio- nen im klägerischen Bedarf (Wohn-, Kommunikations- und Mobilitätskosten, Steuerbetreffnisse, Schuldabzahlungen) sowie das ihr angerechnete hypotheti- sche Einkommen (vgl. Urk. 1). Der Kläger macht hingegen im Sinne eines No- vums geltend, dass er per 1. Mai 2021 eine neue Stelle angetreten habe und dort einen wesentlich tieferen Lohn erziele, weshalb die von ihm zu leistenden Unter- haltsbeiträge weiter zu reduzieren seien. Zudem bemängelt er die Höhe des der Beklagten angerechneten hypothetischen Einkommens sowie mehrere Positionen in seinem (Grundbetrag und ungedeckte Gesundheitskosten) sowie im Bedarf der Beklagten (Wohnkosten und Steuerbetreffnisse; vgl. Urk. 9). 2. Einkommen des Klägers</w:t>
      </w:r>
    </w:p>
    <w:p>
      <w:r>
        <w:rPr>
          <w:b/>
        </w:rPr>
        <w:t>E. 2</w:t>
      </w:r>
    </w:p>
    <w:p>
      <w:r>
        <w:t>Seit dem 6. Dezember 2016 stehen sich die Parteien vor Vorinstanz im Scheidungsverfahren gegenüber. Am 7. Juni 2018 schlossen die Parteien an der Instruktionsverhandlung eine Vereinbarung betreffend vorsorgliche Massnahmen (Urk. 6/119), worin sie sich unter anderem über die vom Kläger zu leistenden Un- terhaltsbeiträge einigten. Diese Vereinbarung wurde mit Verfügung vom 21. Juni 2018 genehmigt (Urk. 6/124). Mit Eingabe vom 3. Juni 2020 (Poststempel 10. Juni 2020) stellte der Kläger (unter anderem) ein Gesuch um Abänderung der mit Ver- einbarung vom 7. Juni 2018 festgesetzten Unterhaltsbeiträge (Urk. 6/241 S. 4). Am 25. Februar 2021 erliess die Vorinstanz den eingangs wiedergegebenen Ent- scheid (Urk. 6/275 = Urk. 2).</w:t>
      </w:r>
    </w:p>
    <w:p>
      <w:r>
        <w:rPr>
          <w:b/>
        </w:rPr>
        <w:t>E. 2.1</w:t>
      </w:r>
    </w:p>
    <w:p>
      <w:r>
        <w:t>Die Vorinstanz hielt fest, es sei glaubhaft, dass der Kläger nach seiner Ent- lassung eine Einkommensverringerung habe hinnehmen müssen und bei seiner neuen Arbeitgeberin im März und April 2020 lediglich noch ein Einkommen von Fr. 8'354.91 netto (exkl. Kinderzulagen) generiert habe. Soweit er aber geltend mache, er habe sein Pensum auf 80 % herabsetzen und dadurch eine Reduktion seines Einkommens auf Fr. 6'683.30 hinnehmen müssen, verwickle er sich in Wi- dersprüche. Er begründe die Reduktion wahlweise mit der Vereinbarkeit der Be- treuungsanteile und dem Stellenerhalt in der Covid 19-Zeit. So erkläre er, er habe seine Arbeitgeberin aktiv um eine Reduktion des Arbeitspensums ersucht, um seine Betreuungspflichten wahrnehmen zu können, da ihm bei seiner Vollzeitstel- le die nötige Flexibilität gefehlt habe. Der Kläger habe demnach sein Pensum aus freien Stücken aufgrund der besseren Vereinbarkeit mit der Kinderbetreuung re- duziert, worauf er zu behaften sei. Seine Begründung, er habe sein Pensum des- halb reduziert, um seine Stelle in der derzeit aufgrund der Pandemie wirtschaftlich schwierigen Zeit behalten zu können, sei nach dem Gesagten nicht glaubhaft dargetan, geschweige denn durch Urkunden belegt. Die Beliebigkeit des klägeri-</w:t>
      </w:r>
    </w:p>
    <w:p>
      <w:r>
        <w:t>- 10 - schen Vorgehens zeige sich auch an anderer Stelle. Nach erfolgter Pensumsre- duktion habe der Kläger ausgeführt, er könne die Arbeitszeit in Absprache mit der Arbeitgeberin "frei einteilen". In seiner Replikschrift, auf welche er zur Begründung seines Massnahmebegehrens verweise, führe er jedoch aus, die Betreuungsan- teile seien abzuändern. Es sei nicht ersichtlich, weshalb er die Anpassung der Be- treuungsanteile – wären Schwierigkeiten bei der Betreuung wirklich ein wesentli- cher und dauerhafter Grund für die Reduktion – nicht auch im Rahmen der vor- sorglichen Massnahmen anbegehre, zumal er gar ein redaktionelles Versehen in der geltenden Betreuungsvereinbarung zu seinen Lasten ausmache. Der Kläger mache auch nicht geltend, seine neue Arbeitgeberin habe eine Homeoffice- Lösung abgelehnt, dies notabene vor dem Hintergrund der seit Pandemiebeginn gesteigerten Akzeptanz bzw. behördlichen Empfehlung oder gar Aufforderung zur Arbeit im Homeoffice. Auch in dieser Hinsicht sei seine Argumentation damit als nicht schlüssig zu erachten. Dies gelte umso mehr, als der Kläger sich auf den Standpunkt stelle, nicht seine volle Leistungsfähigkeit ausschöpfen zu müssen, da der Beklagten eine Erwerbstätigkeit zumutbar sei. Ob dies zutreffe, werde an an- derer Stelle zu beurteilen sein, jedoch gehe es nicht an, durch eine eigenmächtige Reduktion des Arbeitspensums Tatsachen zu schaffen und diese hinterher als Abänderungsgrund anzuführen. Damit vermöge der Kläger nicht glaubhaft zu machen, dass er sein Arbeits- pensum habe reduzieren müssen, um seine Betreuungspflichten gemäss Verein- barung vom 7. Juni 2018 wahrnehmen zu können. Auch seien keine Hinweise auszumachen, dass der Kläger seine auf eigenen Wunsch vorgenommene Ein- kommensreduktion nicht rückgängig machen könnte. Die Unterhaltsbeiträge seien damit anzupassen, wobei von einem monatlichen Nettoeinkommen des Klägers von Fr. 8'354.– exkl. Kinderzulagen auszugehen sei (Urk. 2 E. II./1.8.-1.11. S. 7 f.).</w:t>
      </w:r>
    </w:p>
    <w:p>
      <w:r>
        <w:rPr>
          <w:b/>
        </w:rPr>
        <w:t>E. 2.2</w:t>
      </w:r>
    </w:p>
    <w:p>
      <w:r>
        <w:t>Die Beklagte bringt in ihrer Berufungsschrift vor, dass der Kläger am</w:t>
      </w:r>
    </w:p>
    <w:p>
      <w:r>
        <w:rPr>
          <w:b/>
        </w:rPr>
        <w:t>E. 2.3</w:t>
      </w:r>
    </w:p>
    <w:p>
      <w:r>
        <w:t>Der mit Berufungsantwortschrift vom 30. April 2021 gestellte Rechtsmittelan- trag Ziffer 2 ist zu behandeln, da das Berufungsverfahren gültig eingeleitet wurde, Noven – wie insbesondere die vom Kläger im Zusammenhang mit seiner neuen Arbeitsstelle aufgestellten Behauptungen – unbeschränkt vorgebracht werden können und damit zu beachten sind und das Gericht in der Folge nicht an die Par- teianträge gebunden ist bzw. von diesen abweichen kann, zumal – wie erwähnt – das Verschlechterungsverbot unter der Offizialmaxime nicht zum Tragen kommt (BGE 137 III 617 E. 4.5.3). Zudem ist darauf hinzuweisen, dass das (Massnahme- )Verfahren betreffend Abänderung der Unterhaltsbeiträge nach wie vor (bei der Rechtsmittelinstanz) hängig ist und die Parteien – wie erwähnt – neue Tatsachen und Beweismittel im Rechtsmittelverfahren unbeschränkt vorbringen können. Von einem (eigenständigen) Gesuch um Abänderung von Eheschutzmassnahmen (bzw. von vorsorglichen Massnahmen) kann daher keine Rede sein. III. 1. Ausgangslage</w:t>
      </w:r>
    </w:p>
    <w:p>
      <w:r>
        <w:rPr>
          <w:b/>
        </w:rPr>
        <w:t>E. 3</w:t>
      </w:r>
    </w:p>
    <w:p>
      <w:r>
        <w:t>Hiergegen erhob die Beklagte mit Eingabe vom 15. März 2021 Berufung (Urk. 1, Anträge vorstehend wiedergegeben). Das von der Beklagten gestellte Gesuch um Gewährung der aufschiebenden Wirkung wurde mit Verfügung vom 24. März 2021 abgewiesen (Urk. 7). Die Berufungsantwort datiert vom 30. April 2021 (Urk. 9, Anträge eingangs wiedergegeben). Diese wurde der Beklagten mit Verfügung vom 2. Juni 2021 zur Kenntnisnahme zugestellt und ihr gleichzeitig Frist zur Stellungnahme zu den neu eingereichten Unterlagen und neu aufgestell-</w:t>
      </w:r>
    </w:p>
    <w:p>
      <w:r>
        <w:t>- 6 - ten Behauptungen angesetzt (Urk. 12). Mit Eingabe vom 8. Juni 2021 reichte der Kläger eine Lohnabrechnung vom 31. Mai 2021 ein (Urk. 13-15). Am 28. Juni 2021 nahm die Beklagte innert einmal erstreckter Frist Stellung (Urk. 17 und Urk. 18). Der Kläger liess sich in der Folge nicht mehr vernehmen.</w:t>
      </w:r>
    </w:p>
    <w:p>
      <w:r>
        <w:rPr>
          <w:b/>
        </w:rPr>
        <w:t>E. 4</w:t>
      </w:r>
    </w:p>
    <w:p>
      <w:r>
        <w:t>Das Verfahren erweist sich als spruchreif. Die vorinstanzlichen Akten (Urk. 6/1-278) wurden beigezogen. Auf die Parteivorbringen ist nachfolgend nur insoweit einzugehen, als dies für die Entscheidfindung erforderlich ist. II. 1. Allgemeines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