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LY200046 vom 25. Februar 2021</w:t>
      </w:r>
    </w:p>
    <w:p>
      <w:r>
        <w:t>ZH Obergericht, 2021-02-25, DE</w:t>
      </w:r>
    </w:p>
    <w:p>
      <w:r>
        <w:rPr>
          <w:b/>
        </w:rPr>
        <w:t xml:space="preserve">Quelle: </w:t>
      </w:r>
      <w:r>
        <w:t>https://mcp.opencaselaw.ch/entscheid/zh_obergericht_LY200046</w:t>
      </w:r>
    </w:p>
    <w:p>
      <w:r>
        <w:t>FR: ZH_OBERGERICHT LY200046 du 25 février 2021</w:t>
      </w:r>
    </w:p>
    <w:p>
      <w:r>
        <w:t>IT: ZH_OBERGERICHT LY200046 del 25 febbraio 2021</w:t>
      </w:r>
    </w:p>
    <w:p>
      <w:pPr>
        <w:pStyle w:val="Heading2"/>
      </w:pPr>
      <w:r>
        <w:t>Erwägungen</w:t>
      </w:r>
    </w:p>
    <w:p>
      <w:r>
        <w:rPr>
          <w:b/>
        </w:rPr>
        <w:t>E. 3</w:t>
      </w:r>
    </w:p>
    <w:p>
      <w:r>
        <w:t>Verrechnung von Unterhaltsleistungen (Verfügung 2)</w:t>
      </w:r>
    </w:p>
    <w:p>
      <w:r>
        <w:rPr>
          <w:b/>
        </w:rPr>
        <w:t>E. 3.1</w:t>
      </w:r>
    </w:p>
    <w:p>
      <w:r>
        <w:t>Die Beklagte beantragte für das zweitinstanzliche Verfahren die Leistung eines Prozesskostenvorschusses in der Höhe von CHF 5'000.– durch den Kläger, eventualiter die Gewährung der unentgeltlichen Rechtspflege (act. 2 S. 3). Die Voraussetzungen der Leistung eines Prozesskostenvorschusses resp. der Gewährung der unentgeltlichen Rechtspflege wurden bereits vorstehend dargelegt (E. II.2.3.).</w:t>
      </w:r>
    </w:p>
    <w:p>
      <w:r>
        <w:rPr>
          <w:b/>
        </w:rPr>
        <w:t>E. 3.2</w:t>
      </w:r>
    </w:p>
    <w:p>
      <w:r>
        <w:t>Im Berufungsverfahren macht die Beklagte in dieser Hinsicht zusammen- gefasst geltend, dass sie lediglich CHF 1'775.– verdiene und zusammen mit den Unterhaltsbeiträgen nicht in der Lage sei, neben den Lebenshaltungskosten für die Kosten des vorliegenden Verfahrens aufzukommen. Weiter verfüge sie über keine nennenswerten liquiden Vermögenswerte. Hinsichtlich der Aufstockung der Hypothek resp. Veräusserung der Eigentumswohnung verweist sie auf ihre Aus- führungen hinsichtlich die Berufung gegen die erste Verfügung (act. 2 Rz. 31 ff.; s. dazu E. II.2.2.).</w:t>
      </w:r>
    </w:p>
    <w:p>
      <w:r>
        <w:t>- 24 -</w:t>
      </w:r>
    </w:p>
    <w:p>
      <w:r>
        <w:rPr>
          <w:b/>
        </w:rPr>
        <w:t>E. 3.3</w:t>
      </w:r>
    </w:p>
    <w:p>
      <w:r>
        <w:t>Vorstehend wurde bereits aufgezeigt, dass die Beklagte nicht als mittellos gilt, nachdem sie nicht glaubhaft gemacht hat, dass eine Erhöhung der Hypothek nicht möglich sein soll (E. II.2.4). An dieser Beurteilung ändert auch das Schrei- ben der derzeitigen Hypothekargeberin vom 29. Oktober 2020 nichts, welches für die Glaubhaftmachung der Mittellosigkeit im Berufungsverfahren – im Gegensatz zur Beurteilung des Rechtsmittels gegen die erste Verfügung (s. E. II.2.4.3.) – zu berücksichtigen ist; aus dem Schreiben geht lediglich hervor, dass der Kläger kei- ne neuen Hypotheken mehr bei der aktuellen Hypothekargeberin abschliessen wolle (act. 3/5). Damit vermag die Beklagte nicht glaubhaft zu machen, dass der Kläger nicht bereit sei, im Allgemeinen – bspw. mit anderen Hypothekargeberin- nen – die Hypothek zu erneuern resp. aufzustocken. Es fehlen auch hier Belege, dass sie das Gespräch mit ihm direkt gesucht hat und dieser zu verstehen gab, er sei nicht bereit, bei einer Erhöhung der Hypothek mitzuwirken.</w:t>
      </w:r>
    </w:p>
    <w:p>
      <w:r>
        <w:rPr>
          <w:b/>
        </w:rPr>
        <w:t>E. 3.4</w:t>
      </w:r>
    </w:p>
    <w:p>
      <w:r>
        <w:t>Damit kann die Beklagte auch im Hinblick auf das Berufungsverfahren nicht als mittellos gelten, weshalb die Gesuche um Leistung eines Prozesskos- tenvorschusses resp. Gewährung der unentgeltlichen Rechtspflege abzuweisen sind. Es wird beschlossen:</w:t>
      </w:r>
    </w:p>
    <w:p>
      <w:r>
        <w:rPr>
          <w:b/>
        </w:rPr>
        <w:t>E. 3.4.1</w:t>
      </w:r>
    </w:p>
    <w:p>
      <w:r>
        <w:t>Verpflichtungen, deren besondere Natur die tatsächliche Erfüllung an den Gläubiger verlangen, wie Unterhaltsansprüche und Lohnguthaben, die zum Unter- halt des Gläubigers und seiner Familie unbedingt erforderlich sind, können wider dessen Willen nicht durch Verrechnung getilgt werden (Art. 125 Ziff. 2 OR). Die- ses Verrechnungsverbot ist einseitig und bezweckt den Schutz des Gläubigers, indem die Gültigkeit der Verrechnung von der Zustimmung des Gläubigers ab- hängig macht wird (EICHENBERGER, OFK-OR, Art. 125 N 1; BSK OR I-MÜLLER,</w:t>
      </w:r>
    </w:p>
    <w:p>
      <w:r>
        <w:rPr>
          <w:b/>
        </w:rPr>
        <w:t>E. 3.4.2</w:t>
      </w:r>
    </w:p>
    <w:p>
      <w:r>
        <w:t>Vorab ist hervorzuheben, dass Art. 121 ZGB ausdrücklich eine Schei- dungsfolge normiert. Die Norm sieht vor, dass das Gericht im Scheidungsurteil ei- nem Ehegatten unter bestimmten Voraussetzungen die Rechte und Pflichten aus dem Mietvertrag alleine übertragen kann (Art. 121 Abs. 1 ZGB). Der andere Ehe- gatte haftet jedoch trotz Entlassung aus dem Vertrag nach wie vor für eine be- stimmte Zeit für den Mietzins (Art. 121 Abs. 2 1. Teilsatz ZGB). Sollte der ausge- schiedene Ehegatte für den Mietzins belangt werden, kann er den bezahlten Be- trag ratenweise mit den Unterhaltsbeiträgen verrechnen, die er dem anderen Ehe- gatten schuldet (Art. 121 Abs. 2 2. Teilsatz ZGB). Die gesetzlich geregelte Verrechnungsmöglichkeit gemäss Art. 121 Abs. 2 OR setzt somit ein Scheidungsurteil voraus, mit welchem der Mietvertrag durch Gestaltungsurteil – in gewisser Hinsicht definitiv – auf einen Ehegatten al- leine übertragen wurde. Wurde der Mietvertrag mittels Scheidungsurteil übertra- gen und der unterhaltsverpflichtete Ehegatte belangt, gilt die Möglichkeit der Ver- rechnung gemäss Art. 121 Abs. 2 ZGB – und damit Aufhebung des Verrech- nungsverbots gemäss Art. 125 OR – kraft Gesetz; eine Ermächtigung zur Ver- rechnung – und damit die Einführung einer weiteren Ausnahme vom Verrech- nungsverbot – durch gerichtlichen Entscheid sieht das Gesetz hingegen nicht vor. Bei der Anwendung des Art. 121 Abs. 2 ZGB präsentiert sich die Sachlage derge- stalt, dass der aus dem Mietvertrag ausgeschiedene Ehegatte für eine Schuld mithaftet, obwohl er nicht mehr in einem Vertragsverhältnis zum Vermieter steht und keine Ansprüche mehr an der vormals ehelichen Wohnung hat. Mit anderen Worten hat er gegenüber dem Vermieter eine Zahlungspflicht, ohne Rechte aus dem Mietvertrag zu haben. Sollte der bisherige Mieter belangt werden, kann er</w:t>
      </w:r>
    </w:p>
    <w:p>
      <w:r>
        <w:t>- 18 - die bezahlten Mietzinse gegenüber dem unterhaltsberechtigten Mieter nicht mehr im Rahmen der güterrechtlichen Auseinandersetzung zurückfordern. Als Aus- gleich dazu bietet die Verrechnungsmöglichkeit dem ausgeschiedenen Mieter ei- nen gewissen finanziellen Schutz und erlaubt – neben dem üblichen Zivilrechts- weg – eine erleichterte Rückforderung des Betrags vom ehemaligen Ehegatten, der nunmehr alleine Mieter ist. Zu beachten ist jedoch, dass dieser finanzielle Schutz nicht unproblematisch ist, zumal damit der durch Art. 125 Ziff. 2 OR garan- tierte soziale Schutz aufgegeben wird (BÜCHLER, Scheidung, Art. 121 N 15). Ent- sprechend erscheint es im Allgemeinen nicht gerechtfertigt, Art. 121 ZGB extensiv auszulegen und auf darin nicht normierte Fälle anzuwenden.</w:t>
      </w:r>
    </w:p>
    <w:p>
      <w:r>
        <w:rPr>
          <w:b/>
        </w:rPr>
        <w:t>E. 3.4.3</w:t>
      </w:r>
    </w:p>
    <w:p>
      <w:r>
        <w:t>Die Sach- und Rechtslage im vorliegenden Fall unterscheidet sich von der vorstehend dargelegten in mehrerer Hinsicht. Der Beklagten und den Töchtern wurde die eheliche Wohnung im Rah- men des Eheschutzes zur alleinigen Benutzung im Sinne von Art. 176 Abs. 1 Ziff. 2 ZGB zugeteilt (vgl. act. 4/13/1 S. 4). Als vorsorgliche Massnahme wurde weder ein Mietvertrag auf sie alleine übertragen noch ihr ein Wohnrecht einge- räumt (vgl. dazu Art. 121 Abs. 3 ZGB und nachstehende E. II. 3.4.4.). Bereits die Tatbestände des Art. 121 ZGB und der vorliegende Sachverhalt unterscheiden sich, und es fehlt bereits in dieser Hinsicht an einer Voraussetzung zur Verrech- nungsmöglichkeit während der Ehe analog Art. 121 Abs. 2 und 3 ZGB. Eine un- terschiedliche Handhabung erscheint insofern auch gerechtfertigt, als die ehe- schutzrechtliche Zuweisung der ehelichen Wohnung – im Gegensatz zur Situation nach der Scheidung (vgl. E. II.3.4.2.) – grundsätzlich bloss einen vorübergehen- den Charakter hat und auch einer Abänderung zugänglich ist (vgl. Art. 179 Abs. 1 ZGB). Weiter ist festzuhalten, dass Art. 121 Abs. 2 ZGB – wie bereits dargelegt – keine Grundlage darstellt, das Verrechnungsverbot durch gerichtlichen Entscheid aufzuheben. Im Allgemeinen ist der familienrechtlichen Rechtsordnung die Mög- lichkeit unbekannt, einen Unterhaltsschuldner gerichtlich zu ermächtigen, bereits festgesetzte Unterhaltsbeiträge durch einseitige Willenserklärung des Unterhalts- schuldners zu verrechnen. Schliesslich kann der ausgezogene Ehegatte, der für den Mietzins belangt werden sollte, diesen im Rahmen des Scheidungsverfahrens</w:t>
      </w:r>
    </w:p>
    <w:p>
      <w:r>
        <w:t>- 19 - zurückfordern resp. mit den güterrechtlichen Ansprüchen des anderen Ehegatten verrechnen. Entsprechend erscheint die angeordnete Massnahme – trotz Gefahr eines Doppelzahlungsrisikos (vgl. act. 5 S. 17) – auch nicht verhältnismässig. Dieses finanzielle Risiko alleine rechtfertigt nicht, den sozialen Schutz des Ver- rechnungsverbots aufzuheben und die Höhe bereits gerichtlich festgesetzter Un- terhaltsbeiträge gewissermassen vom Willen des Unterhaltsschuldners abhängig zu machen.</w:t>
      </w:r>
    </w:p>
    <w:p>
      <w:r>
        <w:rPr>
          <w:b/>
        </w:rPr>
        <w:t>E. 3.4.4</w:t>
      </w:r>
    </w:p>
    <w:p>
      <w:r>
        <w:t>Hinzu kommt ein Weiteres: Es geht vorliegend anders als im Fall von Art. 121 Abs. 2 ZGB nicht darum, Mietzinse, für welche der Unterhaltsschuldner belangt wurde, zur Verrechnung zu bringen, sondern der Kläger will Zahlungen an die Stockwerkeigentümergemeinschaft zur Verrechnung bringen. Im Fall der Soli- darhaftung für Mietzinse nach Art. 121 Abs. 2 ZGB fehlt es an einem Innenver- hältnis der beiden Solidarschuldner, welches die Solidarhaftung rechtfertigen wür- de. Deshalb gibt das Gesetz im Sinne eines Korrektivs dem Unterhaltsschuldner die Möglichkeit, seine Unterhaltsschuld mit den Mietzinsen, für die er in Anspruch genommen wurde, zu verrechnen. Im Falle von Stockwerkeigentümerbeiträgen für ein Miteigentumsgrundstück folgt die Haftung beider Miteigentümer dagegen aus ihrem Innenverhältnis, und es besteht daher keine Veranlassung für ein ent- sprechendes Korrektiv. Es rechtfertigt sich deshalb entgegen dem Kläger (act. 11 S. 9) nicht, die in Art. 121 Abs. 2 ZGB enthaltene Ausnahme vom Verrechnungs- verbot (die wie gesehen nicht extensiv auszulegen ist) im Fall der Inanspruchnah- me für Beiträge an die Stockwerkeigentümergemeinschaft analog anzuwenden.</w:t>
      </w:r>
    </w:p>
    <w:p>
      <w:r>
        <w:rPr>
          <w:b/>
        </w:rPr>
        <w:t>E. 3.4.5</w:t>
      </w:r>
    </w:p>
    <w:p>
      <w:r>
        <w:t>Auch ein Vergleich mit Art. 121 Abs. 3 ZGB lässt keinen anderen Schluss zu. Ähnlich wie bei einer Mietwohnung kann das Gericht einem Ehegatten ein be- fristetes Wohnrecht einräumen, wenn die Wohnung – wie im vorliegenden Fall – im Miteigentum der Ehegatten steht. Dieses Wohnrecht ist dabei entgeltlich, wo- bei die Entschädigung in Form einer einmaligen Abfindung, von periodischen Zah- lungen oder unter Anrechnung auf Unterhaltsbeiträge erfolgen kann; eine nach- trägliche Verrechnung mit nachehelichen Unterhaltsbeiträgen ist mangels gesetz- licher Grundlage für eine Abweichung vom Verrechnungsverbot von Art. 125 Ziff. 2 OR ausgeschlossen (BSK ZGB I-GLOOR, Art. 121 N 18).</w:t>
      </w:r>
    </w:p>
    <w:p>
      <w:r>
        <w:t>- 20 - Aus der zitierten Norm geht somit hervor, dass – sollte eine Anrechnung von Wohnkosten mit Unterhaltzahlungen stattfinden – diese bereits in einem ge- richtlichen Entscheid festzuhalten sind, indem bei der Berechnung des Unterhalts die Wohnkosten vom Bedarf des Unterhaltsgläubigers abgezogen werden. Da- durch entsteht auch keine Unsicherheit betreffend die Höhe der Zahlungen. Auch hier ist eine einzig vom Willen des Unterhaltsschuldners abhängige Verrechnung im Sinne von Art. 120 ff. OR gerade nicht möglich.</w:t>
      </w:r>
    </w:p>
    <w:p>
      <w:r>
        <w:rPr>
          <w:b/>
        </w:rPr>
        <w:t>E. 3.5</w:t>
      </w:r>
    </w:p>
    <w:p>
      <w:r>
        <w:t>Zusammenfassend ist die Ähnlichkeit des vorliegenden Sachverhalts mit den in Art. 121 ZGB normierten Tatbeständen zu verneinen und es erscheint nicht gerechtfertigt, die fragliche Norm extensiv auszulegen und analog auf den vorlie- genden Fall anzuwenden.</w:t>
      </w:r>
    </w:p>
    <w:p>
      <w:r>
        <w:rPr>
          <w:b/>
        </w:rPr>
        <w:t>E. 3.6</w:t>
      </w:r>
    </w:p>
    <w:p>
      <w:r>
        <w:t>Unabhängig von der Frage, ob Art. 121 ZGB in der vorliegenden Konstel- lation analog anwendbar ist, ist die Verrechnung von Unterhaltsansprüchen mit Gegenansprüchen des Unterhaltsschuldners im Rahmen von Art. 125 Ziff. 2 OR zulässig, und zwar in dem Umfang, in welchem der Unterhaltsbeitrag für die Un- terhaltsgläubigerin und die Kinder nicht unbedingt erforderlich ist. Besteht ein schützenswertes Interesse, so kann der Unterhaltsschuldner im Verfahren über vorsorgliche Massnahmen verlangen, dass festgestellt werde, in welchem Um- fang er berechtigt sei, seine Unterhaltsschuld durch Verrechnung mit einer Ge- genforderung zu tilgen (es handelt sich somit nicht – wie beantragt wurde – um eine Ermächtigung zur Verrechnung, sondern lediglich um eine entsprechende Feststellung). Der Unterhaltsschuldner hat dabei aufzuzeigen, dass die Gegen- partei auf den entsprechenden Betrag (im Sinne von Art. 125 Ziff. 2 OR) nicht un- bedingt angewiesen ist (vgl. CAN 2018 Nr. 41 E. 5.2-3; zum Rechtsöffnungsver- fahren wird in BSK SchKG I-STAEHELIN, 2. Auflage 2010, Art. 81 N 12, allerdings ausgeführt, es sei am Unterhaltsgläubiger, dem verrechnenden Schuldner gegen- über nachzuweisen, dass der Unterhaltsbeitrag – im Sinne von Art. 125 Ziff. 2 OR – unpfändbar sei; wie es sich insoweit im Massnahmeverfahren mit der Behaup- tungs- und Glaubhaftmachungslast verhält, kann aus den nachfolgend angeführ- ten Gründen offen bleiben). Die Beklagte machte vor Vorinstanz eingehend gel- tend, nach den aktuellen Verhältnissen genügten die eheschutzrichterlich festge-</w:t>
      </w:r>
    </w:p>
    <w:p>
      <w:r>
        <w:t>- 21 - legten Unterhaltsbeiträge nicht (mehr) für die Deckung ihres Bedarfs und desjeni- gen der Kinder (vgl. act. 4/58 S. 4 ff.). Der Kläger gab dazu Bestreitungen und weitere Ausführungen zu Protokoll (vgl. Vi-Prot. S. 15 ff.). Danach hätte die Vor- instanz, wenn sie in einem bestimmten Umfang die Berechtigung des Klägers zur Verrechnung hätte feststellen wollen, auf die Frage eingehen müssen, auf wel- chen Teil der Unterhaltsbeiträge die Beklagte und die Kinder unbedingt angewie- sen sind und welcher darüber hinausgehende Teil durch Verrechnung getilgt wer- den kann. Die Beklagte rügte dies im Berufungsverfahren mit der Eventualbegrün- dung, dass die von der Vorinstanz getroffene Regelung nur zulässig wäre, wenn ihr Existenzminimum und das der Kinder mit einer klaren Formulierung gewahrt würde (act. 2 Rz. 30 i.f.). Eine solche vorsorgliche Anordnung über die Verrechenbarkeit steht indes – wie geschildert (vgl. vorne Ziff. II. 3.3.2) – stets unter dem Vorbehalt der Verhältnis- mässigkeit. In diesem Zusammenhang fällt zunächst in Betracht, dass es nicht um die Verrechnung der Unterhaltsbeiträge mit einer bereits bestehenden Gegenfor- derung geht, sondern um die Verrechnung mit einer möglicherweise in Zukunft entstehenden Gegenforderung, falls die Beklagte weiterhin Beiträge an die Stockwerkeigentümergemeinschaft, die in ihrem Bedarf berücksichtigt wurden, nicht bezahlt und der Kläger dafür in Anspruch genommen wird. Bereits das spricht gegen die Verhältnismässigkeit einer entsprechenden Feststellung bereits im jetzigen Zeitpunkt. Sodann ist kurz auf die Vorgeschichte einzugehen. Die Beklagte räumte ein, sol- che Beiträge im Jahr 2019 nicht bezahlt zu haben. Grund dafür sei gewesen, dass der Kläger bis dahin seine Unterhaltspflichten nicht erfüllt habe. Sie habe deshalb notwendige Lebenshaltungskosten nicht bezahlen können, was zu Schulden ge- führt habe, die sie unter dem Druck von Betreibungsverfahren und Inkassobüros abzahle. Seit 2020 bezahle sie indes die Beiträge an die Stockwerkeigentümerge- meinschaft, wenn auch erst teilweise (act. 4/58 S. 4 ff.). Die entsprechenden Aus- stände der vom Kläger geschuldeten Unterhaltsbeiträge sind unbestritten (im Um- fang von CHF 11'000.– per Datum der vorinstanzlichen Verhandlung vom 4. Sep- tember 2020, Vi-Prot. S. 16; vgl. auch act. 11 S. 3, 9). Dasselbe gilt im Grundsatz</w:t>
      </w:r>
    </w:p>
    <w:p>
      <w:r>
        <w:t>- 22 - für die teilweise Bezahlung der Beiträge für 2020 durch die Beklagte (auch wenn nach dem Kläger ein grösserer Anteil offen blieb als nach der Beklagten, vgl. act. 4/56 S. 5 und Vi-Prot. S. 15). Dass die Beklagte zwischenzeitlich nicht in der Lage war, die fraglichen Beiträge zu bezahlen, hat der Kläger damit zumindest mit veranlasst, wobei nachvollziehbar ist, dass bei der Beklagten Schulden entstan- den, die sie erst nach und nach abzahlen kann. Aus der Erfüllung der klägeri- schen Unterhaltspflicht ab 2019 folgt daher entgegen dem Kläger (act. 11 S. 3) nicht, dass die Beklagte ab dann ohne Weiteres zur Bezahlung der fraglichen Bei- träge hätte in der Lage sein müssen. Schliesslich rechtfertigt es sich, nochmals darauf hinzuweisen, dass die Parteien güterrechtlich noch nicht auseinanderge- setzt sind und der Kläger im Rahmen der Auseinandersetzung und insb. bei der Auflösung des Miteigentums an der ehelichen Eigentumswohnung seine allfälli- gen Ansprüche wird einbringen können. Der Kläger erklärte zwar, es sei nicht ga- rantiert, dass der Anteil der Beklagten am Verkaufserlös die bis dahin voraussicht- lich aufgelaufene Ersatzforderung noch übersteigen werde (act. 4/31 S. 38). Mit dieser unbestimmten Vermutung vermag der Kläger aber nicht aufzuzeigen, dass ein allfälliger Anspruch gefährdet wäre. Es sind hier im Übrigen nochmals die un- bestrittenen Unterhaltsausstände zu erwähnen, die der Kläger der Beklagten schuldet. Der Kläger räumt ungeachtet einer zwischen den Parteien strittigen Pfändung dieses Anspruchs ein, dass sein Existenzminimum nicht ermögliche, diese Schuld abzuzahlen (vgl. Vi-Prot. S. 16, 21). Für die Gefährdung dieses An- spruchs gilt daher dasselbe, wie es der Kläger hinsichtlich seines Anspruchs aus zu viel bezahlten Beiträgen an die Stockwerkeigentümergemeinschaft geltend macht. Die beantragte Massnahme ist aus den geschilderten Gründen insgesamt nicht verhältnismässig.</w:t>
      </w:r>
    </w:p>
    <w:p>
      <w:r>
        <w:rPr>
          <w:b/>
        </w:rPr>
        <w:t>E. 3.7</w:t>
      </w:r>
    </w:p>
    <w:p>
      <w:r>
        <w:t>Entsprechend erweist sich die Berufung der Beklagten gegen die Verfü- gung 2 der Vorinstanz als begründet. Der vorinstanzliche Entscheid ist aufzuhe- ben, und das Gesuch des Klägers um Erlass vorsorglicher Massnahmen ist ab- zuweisen.</w:t>
      </w:r>
    </w:p>
    <w:p>
      <w:r>
        <w:t>- 23 - III. 1. Im Rechtsmittelverfahren bemisst sich die Höhe der Gerichtsgebühr nach § 12 Abs. 1 und 2 in Verbindung mit §§ 2, 5 Abs. 1 sowie § 6 Abs. 2 lit. b der Ge- bührenverordnung des Obergerichts vom 8. September 2010 (GebV OG). Unter Berücksichtigung des tatsächlichen Streitinteresses, dem Zeitaufwand des Ge- richts und der Schwierigkeit des Falles erscheint nach den erwähnten Bestimmun- gen eine Gerichtsgebühr von CHF 3'000.– angemessen. Diese ist aufgrund des summarischen Verfahrens (vgl. § 8 Abs. 1 GebV OG) auf CHF 1'500.– zu reduzie- ren. 2. In Bezug auf die erste Verfügung (Prozesskostenvorschuss) unterliegt die Beklagte mit ihrer Berufung, während sich der Kläger mit der zweiten Verfügung (Direktzahlung resp. Verrechnung gewisser Unterhaltspositionen) identifizierte und in diesem Zusammenhang als unterliegend gilt. Entsprechend rechtfertigt sich eine hälftige Kostentragung. Die Parteientschädigungen sind bei diesem Aus- gang des Verfahrens wettzuschlagen.</w:t>
      </w:r>
    </w:p>
    <w:p>
      <w:r>
        <w:rPr>
          <w:b/>
        </w:rPr>
        <w:t>E. 7</w:t>
      </w:r>
    </w:p>
    <w:p>
      <w:r>
        <w:t>Aufl., Art. 125 N 1). Unbestritten ist, dass der Kläger der Beklagten aktuell einen persönlichen Unterhalt in Höhe von monatlich CHF 792.45 schuldet und die Beklagte die Wohnkosten zu tragen hat (act. 4/13/1 S. 30 ff. und 57). Weiter ist unbestritten, dass die Beklagte der Verrechnung nicht zugestimmt hat und nach wie vor nicht zustimmt. Entsprechend greift das Verrechnungsverbot gemäss Art. 125 Ziff. 2 OR.</w:t>
      </w:r>
    </w:p>
    <w:p>
      <w:r>
        <w:t>- 17 - Während der Ehe sieht das Gesetz keine Ausnahme von diesem Verbot vor. Zu prüfen bleibt folglich, ob ein Ausnahmetatbestand gemäss – analoger An- wendung von – Art. 121 Abs. 2 ZGB vorliegt und damit im Sinne einer vorsorgli- chen Massnahme die Verrechnung trotz Verrechnungsverbot zuzulassen ist. Da- bei ist zu berücksichtigen, dass eine Analogie die Gleichheit von Interessenlage, Normzweck und hinreichend gleich gelagerte Verhältnisse voraussetzt (BSK ZGB I-HONSELL, 6. Aufl., Art. 1 N 13 mit Hinweis auf BGE 129 V 346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