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LY200023 vom 16. Juli 2020</w:t>
      </w:r>
    </w:p>
    <w:p>
      <w:r>
        <w:t>ZH Obergericht, 2020-07-16, DE</w:t>
      </w:r>
    </w:p>
    <w:p>
      <w:r>
        <w:rPr>
          <w:b/>
        </w:rPr>
        <w:t xml:space="preserve">Quelle: </w:t>
      </w:r>
      <w:r>
        <w:t>https://mcp.opencaselaw.ch/entscheid/zh_obergericht_LY200023</w:t>
      </w:r>
    </w:p>
    <w:p>
      <w:r>
        <w:t>FR: ZH_OBERGERICHT LY200023 du 16 juillet 2020</w:t>
      </w:r>
    </w:p>
    <w:p>
      <w:r>
        <w:t>IT: ZH_OBERGERICHT LY200023 del 16 luglio 2020</w:t>
      </w:r>
    </w:p>
    <w:p>
      <w:pPr>
        <w:pStyle w:val="Heading2"/>
      </w:pPr>
      <w:r>
        <w:t>Erwägungen</w:t>
      </w:r>
    </w:p>
    <w:p>
      <w:r>
        <w:rPr>
          <w:b/>
        </w:rPr>
        <w:t>E. 1</w:t>
      </w:r>
    </w:p>
    <w:p>
      <w:r>
        <w:t>Juli 2019 stehen die Parteien nun vor Vorinstanz im Scheidungsprozess. Ein am 4. Juli 2019 gestelltes Gesuch um Erlass von vorsorglichen Massnahmen im Sinne der Abänderung des Eheschutzurteils vom 14. Mai 2018 zog der Beklagte mit Schreiben vom 30. September 2019 wiederum zurück, ausgenommen seinen Antrag um Errichtung einer Besuchs- und Erziehungsbeistandschaft (Urk. 2 S. 5 f.). Mit Eingabe vom 1. Oktober 2019 stellte der Beklagte erneut ein Abände- rungsgesuch. Für den weiteren Verlauf des erstinstanzlichen Verfahrens ist auf den angefochtenen Entscheid zu verweisen (Urk. 2 S. 6 f.). Am 7. April 2020 er- liess die Vorinstanz die eingangs erwähnte Verfügung (Urk. 2).</w:t>
      </w:r>
    </w:p>
    <w:p>
      <w:r>
        <w:rPr>
          <w:b/>
        </w:rPr>
        <w:t>E. 2</w:t>
      </w:r>
    </w:p>
    <w:p>
      <w:r>
        <w:t>Am 12. Mai 2020 erhob der Beklagte Berufung mit den eingangs zitierten Anträgen (Urk. 1 S. 2 ff.). Der Kostenvorschuss gemäss Verfügung vom 10. Juni 2020 ging innert Frist ein (Urk. 8 und 9).</w:t>
      </w:r>
    </w:p>
    <w:p>
      <w:r>
        <w:rPr>
          <w:b/>
        </w:rPr>
        <w:t>E. 3</w:t>
      </w:r>
    </w:p>
    <w:p>
      <w:r>
        <w:t>Auf die Parteivorbringen ist insoweit einzugehen, als dies für die Entscheid- findung erforderlich ist.</w:t>
      </w:r>
    </w:p>
    <w:p>
      <w:r>
        <w:rPr>
          <w:b/>
        </w:rPr>
        <w:t>E. 4</w:t>
      </w:r>
    </w:p>
    <w:p>
      <w:r>
        <w:t>Der Beklagte stellt als Hauptantrag ausschliesslich einen Rückweisungsan- trag, ohne einen Antrag in der Sache zu stellen, wie im Falle einer "Neubeurtei- lung" zu entscheiden wäre. Dies ist unzulässig bzw. ungenügend. Die Berufung ist ein reformatorisches Rechtsmittel (Art. 318 Abs. 1 lit. b ZPO) und die Beru- fungsinstanz besitzt volle Kognition in Sach- und Rechtsfragen, weshalb Rechts- mittelanträge entsprechend zu formulieren sind. Auf den Hauptantrag kann bereits aus diesem Grund nicht eingetreten werden.</w:t>
      </w:r>
    </w:p>
    <w:p>
      <w:r>
        <w:rPr>
          <w:b/>
        </w:rPr>
        <w:t>E. 5</w:t>
      </w:r>
    </w:p>
    <w:p>
      <w:r>
        <w:t>Eventualiter verlangt der Beklagte, Dispositiv-Ziffer 2 der angefochtenen Verfügung sei ersatzlos zu streichen (Urk. 1 S. 2). In der betreffenden Dispositiv- Ziffer ist die Vorinstanz auf das Gesuch um Absetzung der Beiständin bzw. deren Auswechslung mangels sachlicher Zuständigkeit nicht eingetreten. Aus der Be- gründung in der Berufung ist zu schliessen, dass der Beklagte die Auffassung ver- tritt, dass die Vorinstanz zuständig gewesen wäre und sie auf das Gesuch hätte eintreten müssen (Urk. 1 S. 11). Dem kann nicht gefolgt werden. Nach Art. 315a Abs. 1 ZGB trifft das Gericht, das für ein familienrechtliches Verfahren zuständig ist und die Beziehungen der Eltern zu den Kindern zu gestalten hat, auch die nö- tigen Kindesschutzmassnahmen und betraut die Kindesschutzbehörde mit dem Vollzug. Das Gericht kann somit beispielsweise eine Beistandschaft anordnen, die Person des Beistandes oder der Beiständin bestimmt demgegenüber die für den Vollzug zuständige Kindesschutzbehörde. Die gleiche Zuständigkeitsordnung gilt bei einem allfälligen Wechsel der Beistandsperson, welcher sich aufgrund des Verweises in Art. 314 Abs. 1 ZGB nach Art. 423 ZGB richtet. Für einen allfälligen Wechsel der Beistandsperson ist demnach die Kindesschutzbehörde, vorliegend die KESB Hinwil, und nicht das Massnahmengericht zuständig. Die Vorinstanz hat ihre Zuständigkeit zu Recht verneint. Die angefochtene Dispositiv-Ziffer 2 ist zu bestätigen.</w:t>
      </w:r>
    </w:p>
    <w:p>
      <w:r>
        <w:t>- 13 -</w:t>
      </w:r>
    </w:p>
    <w:p>
      <w:r>
        <w:rPr>
          <w:b/>
        </w:rPr>
        <w:t>E. 6</w:t>
      </w:r>
    </w:p>
    <w:p>
      <w:r>
        <w:t>Eventualiter verlangt der Beklagte zudem die Aufhebung von Dispositiv- Ziffer 3, mit welcher die Vorinstanz das Abänderungsbegehren betreffend den Kindes- und Ehegattenunterhalt abwies (Urk. 1 S. 2, S. 14 ff.).</w:t>
      </w:r>
    </w:p>
    <w:p>
      <w:r>
        <w:rPr>
          <w:b/>
        </w:rPr>
        <w:t>E. 6.1</w:t>
      </w:r>
    </w:p>
    <w:p>
      <w:r>
        <w:t>Im Wesentlichen macht er geltend, er habe anlässlich der Verhandlung vom 19. Dezember 2019 ausgeführt, dass er voraussichtlich im Mai 2020 erneut Vater werde, was zu einer Veränderung des Bedarfs führen werde. Er opponiere gegen die Feststellung der Vorinstanz, wonach die bevorstehende Geburt des Kindes (bzw. die Anerkennung durch den Beklagten) abgewartet werden müsse, bis sie im Abänderungsverfahren Berücksichtigung finden könne. Da die Vaterschaft rückwirkend auf den Zeitpunkt der Geburt erfolge und der Beklagte auch rückwir- kend auf diesen Zeitpunkt unterhaltspflichtig werde, eine Abänderung seiner Un- terhaltspflicht aber erst ab dem Zeitpunkt der Einreichung eines Abänderungsge- suchs möglich sei, entstünde für den Beklagten ein Dilemma, wenn er das Abän- derungsverfahren nicht bereits vorzeitig anhängig machen könnte. Namentlich hätte er für einen nicht unbeachtlichen Zeitraum hinzunehmen, dass er zwar für ein zusätzliches Kind unterhaltspflichtig wäre, dies jedoch bei seiner Leistungsfä- higkeit in Bezug auf den ehelichen Unterhalt unberücksichtigt bliebe. Am tt. mm. 2020 habe J._____ eine gesunde Tochter namens H._____ zur Welt gebracht. Der Ehemann von J._____ werde die "Vaterschaftsaberkennung" so bald wie möglich einreichen müssen, hernach werde der Beklagte H._____ als seine eige- ne Tochter anerkennen und damit ihr gegenüber ab Geburt unterhaltspflichtig sein (Urk. 1 S. 14).</w:t>
      </w:r>
    </w:p>
    <w:p>
      <w:r>
        <w:rPr>
          <w:b/>
        </w:rPr>
        <w:t>E. 6.2</w:t>
      </w:r>
    </w:p>
    <w:p>
      <w:r>
        <w:t>Ändern sich die Verhältnisse, so passt das Gericht auf Begehren eines Ehe- gatten die Massnahmen an oder hebt sie auf, wenn ihr Grund weggefallen ist (Art. 179 Abs. 1 ZGB). Vorausgesetzt wird eine wesentliche und dauerhafte Verände- rung der Verhältnisse. Im Zeitpunkt des erstinstanzlichen Entscheids war das Kind noch nicht geboren, weshalb die Vorinstanz den Beklagten zu Recht auf ein (neues) Abänderungsverfahren verwies (Urk. 2 S. 25 f.).</w:t>
      </w:r>
    </w:p>
    <w:p>
      <w:r>
        <w:rPr>
          <w:b/>
        </w:rPr>
        <w:t>E. 6.3</w:t>
      </w:r>
    </w:p>
    <w:p>
      <w:r>
        <w:t>In der Zwischenzeit ist H._____ auf der Welt und es fragt sich, ob die Beru- fungsinstanz dieses Novum zu berücksichtigen hat. Zu beachten ist allerdings, dass der Beklagte rechtlich (noch) nicht der Vater ist. Er führt selbst aus, dass der</w:t>
      </w:r>
    </w:p>
    <w:p>
      <w:r>
        <w:t>- 14 - Ehemann der Mutter von H._____ die Anfechtung der Vermutung der Vaterschaft so bald wie möglich einreichen müsse. Einstweilen gilt aufgrund der Ehelichkeits- vermutung der Ehemann von J._____ als Vater (Art. 255 Abs. 1 ZGB). Dies spricht gegen die Berücksichtigung. Selbst wenn H._____ in Bezug auf die Unter- haltspflicht zu berücksichtigen wäre, da im Falle der Vaterschaftsanerkennung auch die Unterhaltspflicht des Beklagten rückwirkend ab Geburt entstehen würde (Art. 261 Abs. 1 ZGB), könnte das Abänderungsbegehren aus nachfolgenden Er- wägungen nicht gutgeheissen werden. Der Beklagte zeigt in der Berufungsschrift nicht ansatzweise auf, wie sich die von ihm beantragten Unterhaltsbeiträge be- rechnen. Damit genügt er den Anforderungen an die Begründungspflicht, wie sie eingangs dargelegt wurden (Erw. II.1), nicht. Weder erhellt aus der Berufungs- schrift, wie sich die Kinderunterhaltsbeiträge zusammensetzen, noch wie sich der Ehegattenunterhalt errechnet. Zusätzlich differieren die Anträge zu den vor Vo- rinstanz gestellten Begehren (vgl. Urk. 2 S. 2 f., Urk. 1 S. 2 f.), ohne dass dies be- gründet wird. Der Beklagte rügt, die Vorinstanz habe es unterlassen, sich mit den Berechnungsparametern (insbesondere Lohnreduktion und Bedarfserhöhung so- wie Anrechnung eines hypothetischen Einkommens bei der Klägerin) auseinan- derzusetzen (Urk. 1 S. 19). Allerdings unterlässt er es, substantiiert aufzuzeigen, wo er die betreffenden Behauptungen vor Vorinstanz aufgestellt hat bzw. von welchen Parametern betragsmässig denn auszugehen wäre. Die pauschale Ver- weisung auf die Ausführungen vor Vorinstanz (Urk. 1 S. 19) genügt nicht.</w:t>
      </w:r>
    </w:p>
    <w:p>
      <w:r>
        <w:rPr>
          <w:b/>
        </w:rPr>
        <w:t>E. 6.4</w:t>
      </w:r>
    </w:p>
    <w:p>
      <w:r>
        <w:t>Bei dieser Sachlage ist auch der subeventualiter gestellte Antrag, das Beru- fungsverfahren sei bis zum Vorliegen der Vaterschaftsanerkennung zu sistieren (Berufungsantrag Ziffer 3), abzuweisen.</w:t>
      </w:r>
    </w:p>
    <w:p>
      <w:r>
        <w:rPr>
          <w:b/>
        </w:rPr>
        <w:t>E. 6.5</w:t>
      </w:r>
    </w:p>
    <w:p>
      <w:r>
        <w:t>Der Beklagte machte vor Vorinstanz als weiteren Abänderungsgrund gel- tend, dass die Klägerin mit K._____ zusammengezogen sei, weshalb sich ihr Be- darf reduziert habe. Die Vorinstanz prüfte den Abänderungsgrund mit Wirkung per 1. Oktober 2019, da K._____ am 27. September 2020 bei der Klägerin eingezo- gen ist, verneinte ihn indessen, da es sich nicht um eine wesentliche Änderung der Verhältnisse handle (Urk. 2 S. 26 ff.). Sie stellte den Bedarf der Klägerin von Fr. 2'840.–, welcher der Trennungsvereinbarung vom 14. Mai 2018 zugrunde ge- legen hat, dem neu errechneten Bedarf von Fr. 2'648.– gegenüber und schloss</w:t>
      </w:r>
    </w:p>
    <w:p>
      <w:r>
        <w:t>- 15 - auf eine Veränderung von 6.76 % bzw. von durch die Klägerin anerkannten 6.9 % (Urk. 2 S. 33).</w:t>
      </w:r>
    </w:p>
    <w:p>
      <w:r>
        <w:rPr>
          <w:b/>
        </w:rPr>
        <w:t>E. 6.6</w:t>
      </w:r>
    </w:p>
    <w:p>
      <w:r>
        <w:t>Der Beklagte hält dem entgegen, es sei der Klägerin lediglich ein Bedarf von Fr. 2'248.– anzurechnen, da nur ein halber Grundbetrag zuzubilligen sei. Dies be- deute eine Veränderung von 20 %, was eine wesentliche Veränderung sei. Weiter seien auch die Wohnnebenkosten falsch berechnet worden, weshalb sich der Be- darf um weitere Fr. 22.– reduziere und neu bei Fr. 2'226.– liege, was einer Verän- derung von 21.6 % entspreche (Urk. 1 S. 17 f.). Der Klägerin seien als Grundbe- trag nur Fr. 850.– anzurechnen, da sie die Liebesbeziehung zu K._____ bereits seit rund drei Jahren unterhalten würde. Die Beziehung sei keineswegs nur auf ein einfaches Zusammenleben beschränkt. Dies zeige sich bereits daran, dass K._____ schon vor ihrem "offiziellen" Einzug Ende September 2019 von Oktober 2017 bis Februar 2018 Unterschlupf bei der Klägerin gefunden habe. Diese habe K._____ intensiv bei der Wohnungssuche unterstützt und K._____ unterstütze die Klägerin in alltäglichen administrativen Belangen. Die Beziehung der beiden Frauen beschränke sich keineswegs auf ein einfaches Zusammenleben, sondern sei im Sinne einer sogenannten Wohn-, Tisch- und Bettgemeinschaft ausgestal- tet, mithin eine eheähnliche Beziehung, welche auf Dauer angelegt sei und mit Kosteneinsparungen eines Ehepaars vergleichbar sei. Was die Wohnnebenkos- ten angehe, so rechne die Vorinstanz neu mit Fr. 380.– Betriebskosten und Fr. 100.– Reparaturkosten. Es sei jedoch weiterhin von Fr. 400.– statt Fr. 480.– aus- zugehen. Der Betrag von Fr. 400.– sei ein Schätzwert gewesen, während der Be- trag von Fr. 480.– sich aus den aktuellen Belegen ergäbe. Für eine solche Neube- rechnung biete das Abänderungsverfahren jedoch keinen Raum (Urk. 1 S. 17 f.).</w:t>
      </w:r>
    </w:p>
    <w:p>
      <w:r>
        <w:rPr>
          <w:b/>
        </w:rPr>
        <w:t>E. 6.7</w:t>
      </w:r>
    </w:p>
    <w:p>
      <w:r>
        <w:t>Ob die Klägerin im Konkubinat mit K._____ lebt und daher ein Grundbetrag von nur Fr. 850.– anzurechnen wäre, kann aus den unter Erw. II.6.3 aufgeführten Gründen offen bleiben. Wie aufgezeigt, genügt es nicht, im Berufungsverfahren auf die vorinstanzlichen Ausführungen zu verweisen; vielmehr ist mittels genü- gend präziser Verweisungen auf die Akten aufzuzeigen, wo die massgebenden Behauptungen erhoben wurden bzw. aus welchen Aktenstellen sich der geltend gemachte Berufungsgrund ergeben soll. Es ist im Berufungsverfahren als refor- matorischem Verfahren auch genau darzulegen, von welchen Parametern auszu-</w:t>
      </w:r>
    </w:p>
    <w:p>
      <w:r>
        <w:t>- 16 - gehen wäre. Der Beklagte macht lediglich geltend, dass die Berechnungsparame- ter "selbstverständlich zu aktualisieren" seien (Urk. 1 S. 18). Allein mit den Eck- werten Einkommen Klägerin Fr. 3'500.– / Einkommen Beklagter Fr. 11'458.10 / Kinderzulagen Fr. 250.– sowie Bedarf Klägerin Fr. 2'226.– (Urk. 1 S. 3, S. 18), lassen sich die beantragten Unterhaltsbeiträge nicht nachvollziehen. Auch im Gel- tungsbereich der Untersuchungsmaxime liegt es hauptsächlich an den Parteien, die wesentlichen Tatsachen zu schildern und die allenfalls zu erhebenden Bewei- se zu bezeichnen (Sutter-Somm/Schrank, in: Sutter-Somm et al., ZPO Komm., Art. 55 N 64). Das Sammeln des Prozessstoffes verbleibt damit auch bezüglich der Kinderbelange in erster Linie Sache der Parteien, welche nach dem Grund- satz von Treu und Glauben zur Mitwirkung verpflichtet sind, da sie den Prozess- stoff am besten kennen (vgl. Art. 160 Abs. 1 ZPO; Schweighauser, in: Sutter- Somm et al., ZPO Komm., Art. 296 N 10; BGE 133 III 639 E. 2.1). Damit genügen die Vorbringen zur Abänderung des Unterhaltsbeitrages der Begründungspflicht nicht, und es ist nicht weiter darauf einzugehen (vgl. Erwägung II. 1.).</w:t>
      </w:r>
    </w:p>
    <w:p>
      <w:r>
        <w:rPr>
          <w:b/>
        </w:rPr>
        <w:t>E. 6.8</w:t>
      </w:r>
    </w:p>
    <w:p>
      <w:r>
        <w:t>Der Beklagte bezieht sich weiter auf die von ihm vor Vorinstanz dargelegten Abänderungsgründe wie "Sohn L._____", "Reduktion Einkommen des Berufungs- klägers" und "Erwerbseinkommen Berufungsbeklagte" (Urk. 1 S. 15). Wiederum genügen die Vorbringen in formaler Hinsicht den Anforderungen an die Beru- fungsbegründung nicht, weshalb es dabei sein Bewenden hat.</w:t>
      </w:r>
    </w:p>
    <w:p>
      <w:r>
        <w:rPr>
          <w:b/>
        </w:rPr>
        <w:t>E. 6.9</w:t>
      </w:r>
    </w:p>
    <w:p>
      <w:r>
        <w:t>Zusammenfassend vermögen die Vorbringen, soweit darauf einzugehen ist, den Entscheid der Vorinstanz, das Abänderungsbegehren betreffend die Unter- haltspflicht abzuweisen, nicht umzustossen. Die angefochtene Dispositiv-Ziffer 3 ist deshalb zu bestätigen.</w:t>
      </w:r>
    </w:p>
    <w:p>
      <w:r>
        <w:rPr>
          <w:b/>
        </w:rPr>
        <w:t>E. 7</w:t>
      </w:r>
    </w:p>
    <w:p>
      <w:r>
        <w:t>Weiter hält der Beklagte am Gesuch um Errichtung einer Erziehungsbei- standschaft fest (Dispositiv-Ziffer 4).</w:t>
      </w:r>
    </w:p>
    <w:p>
      <w:r>
        <w:rPr>
          <w:b/>
        </w:rPr>
        <w:t>E. 7.1</w:t>
      </w:r>
    </w:p>
    <w:p>
      <w:r>
        <w:t>Die Vorinstanz wies das Begehren, es sei für die gemeinsamen Kinder eine Besuchs- und Erziehungsbeistandschaft zu errichten, im Wesentlichen mit fol- gender Begründung ab: Die vom Beklagten beantragte Erziehungsbeistandschaft im Sinne von Art. 308 Abs. 1 ZGB habe die Aufgabe, die Eltern in ihrer Sorge um das Kind mit Rat und Tat zu unterstützen und ihnen in Erziehungsfragen beratend</w:t>
      </w:r>
    </w:p>
    <w:p>
      <w:r>
        <w:t>- 17 - zur Seite zu stehen. Die Erziehungsbeistandschaft solle durch ambulante, aber kontinuierliche Behandlung erzieherische Missstände abbauen. Die Anordnung einer Erziehungsbeistandschaft setze zwingend eine Erziehungsproblematik vo- raus. Der Beklagte sehe in erster Linie in der Mitgliedschaft der Klägerin in der Freikirche M._____ eine Beeinträchtigung der Erziehungsfähigkeit der Klägerin und damit einhergehend eine Gefährdung der Kinder. Die religiöse Erziehung um- fasse die Bestimmung der Religion und Konfession des Kindes sowie die Ge- samtheit des erzieherischen Einflusses auf die Bildung des religiösen Gefühls und Glaubens des heranwachsenden Kindes. Das Kindeswohl dürfe durch die religiö- se Erziehung nicht gefährdet werden. Das elterliche Bestimmungsrecht sei über- schritten, wenn die Eltern einer Sekte angehören würden, die Kinder einer Ge- hirnwäsche unterziehen, sie zur Prostitution anhalten, die Bildung des Kindes über ein Grundniveau hinaus ablehnen, einen autoritären Erziehungsstil pflegen oder jeden Kontakt mit Nichtmitgliedern verbieten würden. In solchen Fällen seien Kindesschutzmassnahmen angezeigt. Weder die Ausführungen der Parteien in ih- ren bisherigen Stellungnahmen sowie anlässlich der Verhandlung betreffend vor- sorgliche Massnahmen noch die Anhörung der Kinder vom 6. Februar 2020 habe eine spezifische Kindswohlgefährdung durch die religiöse Erziehung der Klägerin offenkundig erscheinen lassen. Die Vermittlung des Glaubens an die Kinder durch die Freikirche geschehe offensichtlich auf eine sehr spielerische Art und Weise und die Kinder seien in der Lage, ganz offen darüber zu reden. Und auch die von der Klägerin praktizierte Ausübung ihres Glaubens mit den Kindern zu Hause er- scheine nicht übermässig. Eine akute Kindswohlgefährdung sei zum heutigen Zeitpunkt nicht ersichtlich. Es sei offenkundig, dass die Parteien ganz unter- schiedliche Auffassungen über die religiöse Erziehung der Kinder vertreten wür- den und nicht in der Lage seien, durch Kommunikation diesbezüglich einen ge- meinsamen Nenner zu finden. Diese Uneinigkeit beeinträchtige das Kindeswohl bis zum heutigen Zeitpunkt aber nicht derart, als dass weitere Kindesschutz- massnahmen unverzüglich angezeigt erscheinen würden (Urk. 2 S. 15 ff.).</w:t>
      </w:r>
    </w:p>
    <w:p>
      <w:r>
        <w:rPr>
          <w:b/>
        </w:rPr>
        <w:t>E. 7.2</w:t>
      </w:r>
    </w:p>
    <w:p>
      <w:r>
        <w:t>Der Beklagte macht geltend, entgegen den vorinstanzlichen Erwägungen habe er sich nicht nur auf die Uneinigkeit der Parteien in Bezug auf die religiöse Erziehung bezogen. Vielmehr habe er auch andere Aspekte der gemeinsamen el-</w:t>
      </w:r>
    </w:p>
    <w:p>
      <w:r>
        <w:t>- 18 - terlichen Sorge erwähnt, welche von der Klägerin kontinuierlich missachtet wür- den, wie die fehlende Information und Mitberücksichtigung seines Willens in Be- zug auf medizinische und schulische Betreuung oder die Wohnsituation der Kin- der. Auch habe er aufgezeigt, dass ihm die Klägerin den Kontakt zu seinen Kin- dern seit dem 2. Januar 2018 verweigere und auch die Anweisungen des Ehe- schutzgerichts und der Beiständin missachte. Indem sich die Vorinstanz lediglich mit dem Argument betreffend die religiöse Erziehung auseinandergesetzt habe, habe sie das rechtliche Gehör des Beklagten verletzt, was entweder im vorliegen- den Verfahren oder durch Rückweisung an die Vorinstanz zu heilen sei (Urk. 1 S. 7).</w:t>
      </w:r>
    </w:p>
    <w:p>
      <w:r>
        <w:rPr>
          <w:b/>
        </w:rPr>
        <w:t>E. 7.3</w:t>
      </w:r>
    </w:p>
    <w:p>
      <w:r>
        <w:t>Der Anspruch auf rechtliches Gehör geht nicht so weit, dass sich die Behör- de mit jeder tatsächlichen Behauptung und mit jedem rechtlichen Einwand ausei- nandersetzen muss; vielmehr kann sie sich auf die für den Entscheid wesentli- chen Gesichtspunkte beschränken. Insgesamt muss die Begründung eines Ent- scheides so abgefasst sein, dass der Betroffene ihn gegebenenfalls sachgerecht anfechten kann, was der Fall ist, wenn sowohl er wie auch die Rechtsmittelinstanz sich über die Tragweite des Entscheides ein Bild machen können. In diesem Sinn müssen wenigstens kurz die Überlegungen genannt werden, von denen sich die Behörde hat leiten lassen und auf welche sich ihr Entscheid stützt (BGE 142 III 433 E. 4.3.2; BGE 136 I 184 E. 2.2.1). Diese Vorgaben hält der angefochtene Entscheid ein. Abgesehen davon, hat sich die Vorinstanz auch zum Kontaktab- bruch geäussert (Urk. 2 S. 18). Im Übrigen kann aufgrund der umfassenden Überprüfungsbefugnis der Berufungsinstanz eine Verletzung des Gehörsan- spruchs im Rechtsmittelverfahren geheilt werden.</w:t>
      </w:r>
    </w:p>
    <w:p>
      <w:r>
        <w:rPr>
          <w:b/>
        </w:rPr>
        <w:t>E. 7.4</w:t>
      </w:r>
    </w:p>
    <w:p>
      <w:r>
        <w:t>Der Beklagte moniert, die Vorinstanz habe ihre Pflichten im Rahmen der Of- fizialmaxime verletzt. Sie mache theoretische Ausführungen zum Kindswohl bei einer Sekte, gehe jedoch hernach nicht näher auf die Frage ein, inwiefern solches Gedankengut auch bei der Kirche im M'._____ vorliege. Unstreitig sei, dass den Kindern der Aufenthalt in der Freikirche grundsätzlich gefalle, bemühe sich die Freikirche doch offensichtlich intensiv um ihren Nachwuchs. Nach Ansicht des Beklagten werde das Wohl sehr wohl gefährdet, indem den Kindern ein funda-</w:t>
      </w:r>
    </w:p>
    <w:p>
      <w:r>
        <w:t>- 19 - mentaler Glaube vermittelt werde, welcher sie in ihrer freien Denkweise und damit auch in ihrer Beziehung zu anderen Kindern sowie dem Schulunterricht ein- schränken könne und welchem sie sich aufgrund ihres Alters und ihrer Unerfah- renheit nicht entziehen könnten. Weiter wiederholt der Beklagte, dass die Klägerin das gemeinsame Sorgerecht spätestens seit der Trennung konsequent missach- te, dies erstrecke sich auch auf die schulische und gesundheitliche Erziehung und Betreuung der Kinder. Es sei diesbezüglich auf die Ausführungen vor Vorinstanz zu verweisen (Urk. 1 S. 8).</w:t>
      </w:r>
    </w:p>
    <w:p>
      <w:r>
        <w:rPr>
          <w:b/>
        </w:rPr>
        <w:t>E. 7.5</w:t>
      </w:r>
    </w:p>
    <w:p>
      <w:r>
        <w:t>Dass die Kinder in der Kindergruppe (Kids-Treff) der Kirche im M'._____ ei- ner eigentlichen Gehirnwäsche unterzogen würden oder ihnen jeder Kontakt mit Nichtmitgliedern verboten würde, behauptet selbst der Beklagte nicht. Wie bereits ausgeführt (Erw. II.1), genügt es zudem nicht, auf die Ausführungen vor Vo- rinstanz zu verweisen. Wie gesagt, sind die Parteien auch bei Geltung des Unter- suchungsgrundsatzes und insbesondere im Rahmen des summarischen Verfah- rens nicht davon befreit, bei der Feststellung des entscheidrelevanten Sachver- haltes im Sinne einer prozessualen Obliegenheit aktiv mitzuwirken und die allen- falls zu erhebenden Beweise zu bezeichnen (vgl. Art. 160 Abs. 1 ZPO; oben Erw. II.6.7). Aus dem Umstand, dass die Klägerin die Kinder in eine Figurenspielthera- pie geschickt hat (Urk. 1 S. 8), lässt sich auch keine Kindswohlgefährdung erbli- cken, zumal diese Therapie mit der früheren Beiständin abgesprochen war (Prot. I S. 49, Urk. 7/92 S. 10). Im Übrigen hat die Vorinstanz nicht nur die Kinder ange- hört (Urk. 7/72), sondern auch bei der Beistandsperson Erkundigungen eingeholt, welche nichts Auffälliges feststellen konnte (Prot. I S. 60).</w:t>
      </w:r>
    </w:p>
    <w:p>
      <w:r>
        <w:rPr>
          <w:b/>
        </w:rPr>
        <w:t>E. 7.6</w:t>
      </w:r>
    </w:p>
    <w:p>
      <w:r>
        <w:t>Die allgemeine Erziehungsbeistandschaft nach Art. 308 Abs. 1 ZGB verfolgt den Zweck, durch kontinuierliche Begleitung der Eltern bzw. bei einer Trennung oder Scheidung des betreuenden Elternteils erzieherische Missstände abzubauen (BSK ZGB-Breitschmid, Art. 308 N 4). Anzeichen dafür, dass bei der Klägerin Er- ziehungsdefizite vorliegen, die durch die Erziehungsbeistandschaft zu kompensie- ren wären, sind nicht ersichtlich. Eine Gefahr der Überforderung im Alltag durch die Klägerin bzw. eine Entwicklungsverzögerung der Kinder ist nicht erkennbar. Es gibt auch keine Hinweise, dass C._____ oder D._____ Probleme in der Schule</w:t>
      </w:r>
    </w:p>
    <w:p>
      <w:r>
        <w:t>- 20 - hätten (Urk. 7/72 S. 1). Bei der Vorinstanz hinterliessen die drei Kinder einen auf- geweckten Eindruck (Urk. 7/72 S. 6). Die Erziehungsbeiständin ist sachlich auch nicht befugt, den Eltern mit Bezug auf Entscheide betreffend Religion, Gesundheit und schulische Belange konkrete Weisungen zu erteilen, wie das der Beklagte beantragt. Darauf hat bereits die Vorinstanz hingewiesen (vgl. Urk. 2 S. 17). Dagegen hat der Beklagte als sorgeberechtigter Elternteil ein direktes In- formationsrecht gegenüber Schulen, Ärzten und Behörden etc., worüber ihn die Vorinstanz anlässlich der Verhandlung im Dezember 2019 bereits orientiert hat (Prot. I S. 46).</w:t>
      </w:r>
    </w:p>
    <w:p>
      <w:r>
        <w:rPr>
          <w:b/>
        </w:rPr>
        <w:t>E. 7.7</w:t>
      </w:r>
    </w:p>
    <w:p>
      <w:r>
        <w:t>Augenfällig und unbestritten ist der grosse Konflikt zwischen den Eltern und damit einhergehend die Tatsache, dass die Kinder ihren Vater seit mehr als zwei Jahren nicht mehr gesehen haben. Die Parteien beschuldigen sich gegenseitig, dass die Besuche nicht stattgefunden haben (vgl. etwa Urk. 1 S. 9, Urk. 2 S. 11, Urk. 7/92 S. 9). Die Vorinstanz erwog, dass das Gericht im Rahmen des Haupt- verfahrens nicht um die Erstellung eines Gutachtens kommen werde, um allfällige längerfristigen Kindswohlgefährdungen abzuklären. Es werde zudem nicht ausge- schlossen, auf die Frage der Einsetzung eines Erziehungsbeistandes im Rahmen des Hauptverfahrens zurückzukommen, sollte sich dies als mögliche Schutz- massnahme für das Kindeswohl herauskristallisieren (Urk. 2 S. 17). Mit dieser entscheidrelevanten Erwägung setzt sich der Beklagte wiederum nicht substanti- iert auseinander. Weiter hat die Vorinstanz dem Kontaktabbruch mit der bereits bestehenden Besuchsrechtsbeistandschaft Rechnung getragen und der Bei- standsperson weitere Befugnisse eingeräumt, damit das Besuchsrecht wieder aufgebaut werden kann (Urk. 2 S. 25, Dispositiv-Ziffer 5). Konkrete Einwände ge- gen die angeordneten Befugnisse erhebt der Beklagte nicht. Er erachtet allerdings die Besuchsbeistandschaft als nicht ausreichend, die ernannte Besuchsbeiständin habe zwischenzeitlich in ihrer Funktion gar resigniert (Urk. 1 S. 9). Wie die Vo- rinstanz bereits ausführte, ist die von ihm geforderte Erziehungsbeistandschaft rechtlich nicht die geeignete Massnahme, um den Kontakt zu den Kindern wieder aufzubauen (Urk. 2 S. 18). Ohnehin wäre auch bei einer Erziehungsbeistand- schaft erforderlich, dass die Parteien mit der Beistandsperson konstruktiv zu- sammenarbeiten.</w:t>
      </w:r>
    </w:p>
    <w:p>
      <w:r>
        <w:t>- 21 -</w:t>
      </w:r>
    </w:p>
    <w:p>
      <w:r>
        <w:rPr>
          <w:b/>
        </w:rPr>
        <w:t>E. 7.8</w:t>
      </w:r>
    </w:p>
    <w:p>
      <w:r>
        <w:t>Nach dem Gesagten ist der Entscheid der Vorinstanz, keine Erziehungsbei- standschaft zu errichten, nicht zu beanstanden. Demzufolge sind sowohl Disposi- tiv-Ziffer 4 als auch Dispositiv-Ziffer 5 (Besuchsbeistandschaft) der angefochtenen Verfügung zu bestätigen.</w:t>
      </w:r>
    </w:p>
    <w:p>
      <w:r>
        <w:rPr>
          <w:b/>
        </w:rPr>
        <w:t>E. 8</w:t>
      </w:r>
    </w:p>
    <w:p>
      <w:r>
        <w:t>Der Beklagte verlangt schliesslich die Aufhebung von Dispositiv-Ziffer 6, mit welcher die Vorinstanz den Antrag, es sei der Klägerin im Falle der Verweigerung des Besuchsrechts eine Strafe gemäss Art. 292 StGB anzudrohen, abwies.</w:t>
      </w:r>
    </w:p>
    <w:p>
      <w:r>
        <w:rPr>
          <w:b/>
        </w:rPr>
        <w:t>E. 8.1</w:t>
      </w:r>
    </w:p>
    <w:p>
      <w:r>
        <w:t>In der Begründung erwog die Vorinstanz, eine Strafandrohung gemäss Art. 343 Abs. 1 ZPO sei nur dann zulässig, wenn der Entscheid auf ein Tun, Dul- den oder Unterlassen laute. Entsprechend fehle es vorliegend an der gesetzlichen Voraussetzung für die Strafandrohung im Sinne von Art. 292 StGB, weshalb auf diesen Antrag nicht einzutreten sei (Urk. 2 S. 18). Folgt man der Auffassung der Vorinstanz, wäre im Dispositiv auf den entsprechenden Antrag nicht einzutreten gewesen.</w:t>
      </w:r>
    </w:p>
    <w:p>
      <w:r>
        <w:rPr>
          <w:b/>
        </w:rPr>
        <w:t>E. 8.2</w:t>
      </w:r>
    </w:p>
    <w:p>
      <w:r>
        <w:t>Der Beklagte macht geltend, die Vorinstanz hätte auf den Antrag eintreten müssen, da gemäss bundesgerichtlicher Rechtsprechung bei Besuchsrechten ei- ne indirekte Zwangsvollstreckung durch Strafandrohung nach Art. 292 StGB zu- lässig sei. Er habe im vorinstanzlichen Verfahren ausführlich dargelegt, dass die Klägerin ihm den Kontakt zu seinen Kindern seit anfangs 2018 konsequent ver- weigere. An den entsprechenden Ausführungen werde festgehalten. Demnach sei die Sache mit der verbindlichen Auflage der Neubeurteilung an die Vorinstanz zu- rückzuweisen (Urk. 1 S. 13).</w:t>
      </w:r>
    </w:p>
    <w:p>
      <w:r>
        <w:rPr>
          <w:b/>
        </w:rPr>
        <w:t>E. 8.3</w:t>
      </w:r>
    </w:p>
    <w:p>
      <w:r>
        <w:t>Betreuungsregelungen sind einer Zwangsvollstreckung grundsätzlich zu- gänglich. Vorliegend geht es nicht um die Anordnung einer direkten Realvollstre- ckung, sondern um diejenige der indirekten Zwangsvollstreckung durch Strafan- drohung gemäss Art. 292 StGB, wie sie in Art. 343 Abs. 1 lit. a ZPO als Vollstre- ckungsmassnahme bei einer Verpflichtung zu einem Tun ausdrücklich vorgese- hen ist. Die Strafandrohung als Vollstreckungsmassnahme steht dann zur Diskus- sion, wenn der andere Elternteil sich der Ausübung des Betreuungsrechts in grundsätzlicher Weise widersetzt (BGer 5A_167/2017 vom 11. September 2017, E. 6.1). Der Beklagte rügt daher zu Recht, dass die Vorinstanz auf den Antrag</w:t>
      </w:r>
    </w:p>
    <w:p>
      <w:r>
        <w:t>- 22 - hätte eintreten müssen. Von einer Rückweisung zur materiellen Beurteilung ist in- dessen abzusehen. In der hochkonflikthaften Paarbeziehung ist es nicht alleine die Klägerin, welche den Kontaktabbruch zu verantworten hat. Der Beklagte führt denn im Berufungsverfahren auch nicht näher aus, inwiefern die Klägerin die Ausübung des Besuchsrechts verhindert. Und wie bereits erwogen, hat die Kläge- rin die betreffenden Vorwürfe im erstinstanzlichen Verfahren vehement bestritten (Urk. 7/92 S. 9 f.). Auch hat die Klägerin Belege eingereicht, die glaubhaft ma- chen, dass sie mit der Beistandsperson zusammenarbeiten will. So hat sie bei- spielsweise ihre Zusage zu einem von der Beiständin im Frühling 2020 initiierten Elterngespräch belegt, während die Zusage des Beklagten ausblieb (Urk. 7/94//51, 7/94/52). Mit dem vorliegenden Entscheid werden beide Parteien (er- neut) verpflichtet, mit der Beistandsperson zusammenzuarbeiten, eine Vertrau- ensperson zu bestimmen, um ein erstes Treffen unverzüglich organisieren zu können. Sie sind daher mit Nachdruck daran zu erinnern, zum Wohle der Kinder konstruktiv mit der Beistandsperson zusammenzuarbeiten, damit ein erstes Tref- fen zeitnah erfolgen kann. Auf die Anordnung einer Strafandrohung gemäss Art. 292 StGB ist bei den vorliegenden Umständen zu verzichten. Im Ergebnis ist das Begehren daher abzuweisen und die angefochtene Dispositiv-Ziffer 6 zu bestäti- gen.</w:t>
      </w:r>
    </w:p>
    <w:p>
      <w:r>
        <w:rPr>
          <w:b/>
        </w:rPr>
        <w:t>E. 9</w:t>
      </w:r>
    </w:p>
    <w:p>
      <w:r>
        <w:t>Nach dem Gesagten kann der Vorinstanz weder eine unrichtige Rechtsan- wendung noch eine unrichtige Feststellung des Sachverhalts vorgeworfen wer- den. Die Berufung ist deshalb abzuweisen, soweit darauf einzutreten ist, und die angefochtene Verfügung ist zu bestätigen.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