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LY200016 vom 25. Mai 2020</w:t>
      </w:r>
    </w:p>
    <w:p>
      <w:r>
        <w:t>ZH Obergericht, 2020-05-25, DE</w:t>
      </w:r>
    </w:p>
    <w:p>
      <w:r>
        <w:rPr>
          <w:b/>
        </w:rPr>
        <w:t xml:space="preserve">Quelle: </w:t>
      </w:r>
      <w:r>
        <w:t>https://mcp.opencaselaw.ch/entscheid/zh_obergericht_LY200016</w:t>
      </w:r>
    </w:p>
    <w:p>
      <w:r>
        <w:t>FR: ZH_OBERGERICHT LY200016 du 25 mai 2020</w:t>
      </w:r>
    </w:p>
    <w:p>
      <w:r>
        <w:t>IT: ZH_OBERGERICHT LY200016 del 25 maggio 2020</w:t>
      </w:r>
    </w:p>
    <w:p>
      <w:pPr>
        <w:pStyle w:val="Heading2"/>
      </w:pPr>
      <w:r>
        <w:t>Erwägungen</w:t>
      </w:r>
    </w:p>
    <w:p>
      <w:r>
        <w:rPr>
          <w:b/>
        </w:rPr>
        <w:t>E. 1</w:t>
      </w:r>
    </w:p>
    <w:p>
      <w:r>
        <w:t>Die Parteien heirateten am tt. Januar 2007. Sie haben zwei gemeinsame Kinder: C._____, geboren am tt.mm 2008, und D._____, geboren am tt.mm 2012.</w:t>
      </w:r>
    </w:p>
    <w:p>
      <w:r>
        <w:rPr>
          <w:b/>
        </w:rPr>
        <w:t>E. 2</w:t>
      </w:r>
    </w:p>
    <w:p>
      <w:r>
        <w:t>Am 2. September 2015 machte die Klägerin und Berufungsklägerin (fortan Klägerin) beim Einzelgericht am Bezirksgericht Zürich ein Eheschutzverfahren anhängig, das mit Urteil der beschliessenden Kammer vom 12. Dezember 2017 endete. Damit wurde unter anderem die geteilte Obhut der Parteien für die Kinder C._____ und D._____ mit wechselnder Betreuung angeordnet und die Unterhalts- leistungen für die Kinder und den Beklagten festgesetzt (Urk. 2/8/4/86). Mit Klage vom 21. Dezember 2017 machte die Klägerin bei der Vorinstanz das Scheidungs- verfahren anhängig, in dessen Verlauf der Beklagte und Berufungsbeklagte (fort- an Beklagter) und die Klägerin um die Anordnung vorsorglicher Massnahmen mit den eingangs zitierten Anträgen ersuchten. Der erstinstanzliche Prozessverlauf</w:t>
      </w:r>
    </w:p>
    <w:p>
      <w:r>
        <w:t>- 6 - kann dem angefochtenen Entscheid entnommen werden (Urk. 2/2 S. 4 ff.). Mit Verfügung vom 20. Dezember 2018 erliess die Vorinstanz in teilweiser Abände- rung des Eheschutzurteils vom 12. Dezember 2017 den vorstehend angeführten Entscheid (Urk. 2/2). Dagegen erhob die Klägerin fristgerecht Berufung (Urk. 2/1; Urk. 2/8/65/2). Das Berufungsverfahren wurde unter der Geschäftsnummer LY190001-O geführt (Urk. 2/1-30). In dessen Verlauf wurde das Gesuch der Klä- gerin um Erteilung der aufschiebenden Wirkung mit Verfügung vom 21. Januar 2019 abgewiesen (Urk. 2/5). Die Berufungsantwort datiert vom 15. Februar 2019 (Urk. 2/11), die Stellungnahme der Klägerin dazu vom 27. Februar 2019 (Urk. 2/15). Letztere wurde der Gegenpartei zur Kenntnisnahme zugestellt. Mit Eingaben vom 11. März 2019, 16. April 2019 und 17. April 2019 reichten die Rechtsvertreter ihre Honorarnoten ein (Urk. 2/19; Urk. 2/22; Urk. 2/25). Mit Be- schluss vom 17. Juni 2019 wurde Rechtsanwältin lic. iur. X._____ auf ihr Ersu- chen (Urk. 2/28) ein Vorschuss aus der Gerichtskasse ausgerichtet (Urk. 2/29).</w:t>
      </w:r>
    </w:p>
    <w:p>
      <w:r>
        <w:rPr>
          <w:b/>
        </w:rPr>
        <w:t>E. 3</w:t>
      </w:r>
    </w:p>
    <w:p>
      <w:r>
        <w:t>Die Regelung der Prozesskosten des vorliegenden Berufungsverfahrens wird dem neuen Entscheid der Vorinstanz vorbehalten.</w:t>
      </w:r>
    </w:p>
    <w:p>
      <w:r>
        <w:rPr>
          <w:b/>
        </w:rPr>
        <w:t>E. 4</w:t>
      </w:r>
    </w:p>
    <w:p>
      <w:r>
        <w:t>Schriftliche Mitteilung an die Parteien sowie an die Vorinstanz unter Beilage der erstinstanzlichen Akten, je gegen Empfangsschein.</w:t>
      </w:r>
    </w:p>
    <w:p>
      <w:r>
        <w:t>- 9 -</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übersteigt Fr. 30'000.–. Die Beschwerde an das Bundesgericht hat keine aufschiebende Wirkung. Hinsichtlich des Fristenlaufs gelten die Art. 44 ff. BGG. Zürich, 25. Mai 2020 Obergericht des Kantons Zürich I. Zivilkammer Die Gerichtsschreiberin: lic. iur. G. Ramer Jenny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